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AB7" w:rsidRPr="003E4AB7" w:rsidRDefault="003E4AB7" w:rsidP="003E4AB7">
      <w:pPr>
        <w:spacing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E4AB7">
        <w:rPr>
          <w:rFonts w:ascii="Arial" w:hAnsi="Arial" w:cs="Arial"/>
          <w:b/>
          <w:sz w:val="26"/>
          <w:szCs w:val="26"/>
        </w:rPr>
        <w:t>О реализации мероприятий, направленных на достижение показател</w:t>
      </w:r>
      <w:r w:rsidR="00945A00">
        <w:rPr>
          <w:rFonts w:ascii="Arial" w:hAnsi="Arial" w:cs="Arial"/>
          <w:b/>
          <w:sz w:val="26"/>
          <w:szCs w:val="26"/>
        </w:rPr>
        <w:t>я</w:t>
      </w:r>
      <w:r w:rsidRPr="003E4AB7">
        <w:rPr>
          <w:rFonts w:ascii="Arial" w:hAnsi="Arial" w:cs="Arial"/>
          <w:b/>
          <w:sz w:val="26"/>
          <w:szCs w:val="26"/>
        </w:rPr>
        <w:t>, содержащ</w:t>
      </w:r>
      <w:r w:rsidR="00945A00">
        <w:rPr>
          <w:rFonts w:ascii="Arial" w:hAnsi="Arial" w:cs="Arial"/>
          <w:b/>
          <w:sz w:val="26"/>
          <w:szCs w:val="26"/>
        </w:rPr>
        <w:t>егося</w:t>
      </w:r>
    </w:p>
    <w:p w:rsidR="00092D72" w:rsidRPr="003E4AB7" w:rsidRDefault="003E4AB7" w:rsidP="003E4AB7">
      <w:pPr>
        <w:spacing w:line="240" w:lineRule="auto"/>
        <w:jc w:val="center"/>
      </w:pPr>
      <w:r w:rsidRPr="003E4AB7">
        <w:rPr>
          <w:rFonts w:ascii="Arial" w:hAnsi="Arial" w:cs="Arial"/>
          <w:b/>
          <w:sz w:val="26"/>
          <w:szCs w:val="26"/>
        </w:rPr>
        <w:t xml:space="preserve">в </w:t>
      </w:r>
      <w:proofErr w:type="gramStart"/>
      <w:r w:rsidRPr="003E4AB7">
        <w:rPr>
          <w:rFonts w:ascii="Arial" w:hAnsi="Arial" w:cs="Arial"/>
          <w:b/>
          <w:sz w:val="26"/>
          <w:szCs w:val="26"/>
        </w:rPr>
        <w:t>указ</w:t>
      </w:r>
      <w:r w:rsidR="00945A00">
        <w:rPr>
          <w:rFonts w:ascii="Arial" w:hAnsi="Arial" w:cs="Arial"/>
          <w:b/>
          <w:sz w:val="26"/>
          <w:szCs w:val="26"/>
        </w:rPr>
        <w:t>е</w:t>
      </w:r>
      <w:proofErr w:type="gramEnd"/>
      <w:r w:rsidRPr="003E4AB7">
        <w:rPr>
          <w:rFonts w:ascii="Arial" w:hAnsi="Arial" w:cs="Arial"/>
          <w:b/>
          <w:sz w:val="26"/>
          <w:szCs w:val="26"/>
        </w:rPr>
        <w:t xml:space="preserve"> Президента Российской Ф</w:t>
      </w:r>
      <w:r w:rsidR="00945A00">
        <w:rPr>
          <w:rFonts w:ascii="Arial" w:hAnsi="Arial" w:cs="Arial"/>
          <w:b/>
          <w:sz w:val="26"/>
          <w:szCs w:val="26"/>
        </w:rPr>
        <w:t xml:space="preserve">едерации от 7 мая 2012 г. № 596 </w:t>
      </w:r>
      <w:r w:rsidRPr="003E4AB7">
        <w:rPr>
          <w:rFonts w:ascii="Arial" w:hAnsi="Arial" w:cs="Arial"/>
          <w:b/>
          <w:sz w:val="26"/>
          <w:szCs w:val="26"/>
        </w:rPr>
        <w:t xml:space="preserve"> (на 0</w:t>
      </w:r>
      <w:r w:rsidR="00945A00">
        <w:rPr>
          <w:rFonts w:ascii="Arial" w:hAnsi="Arial" w:cs="Arial"/>
          <w:b/>
          <w:sz w:val="26"/>
          <w:szCs w:val="26"/>
        </w:rPr>
        <w:t>1</w:t>
      </w:r>
      <w:r w:rsidR="00F834DE">
        <w:rPr>
          <w:rFonts w:ascii="Arial" w:hAnsi="Arial" w:cs="Arial"/>
          <w:b/>
          <w:sz w:val="26"/>
          <w:szCs w:val="26"/>
        </w:rPr>
        <w:t>.07</w:t>
      </w:r>
      <w:bookmarkStart w:id="0" w:name="_GoBack"/>
      <w:bookmarkEnd w:id="0"/>
      <w:r w:rsidR="00C130D3">
        <w:rPr>
          <w:rFonts w:ascii="Arial" w:hAnsi="Arial" w:cs="Arial"/>
          <w:b/>
          <w:sz w:val="26"/>
          <w:szCs w:val="26"/>
        </w:rPr>
        <w:t>.2015</w:t>
      </w:r>
      <w:r w:rsidRPr="003E4AB7">
        <w:rPr>
          <w:rFonts w:ascii="Arial" w:hAnsi="Arial" w:cs="Arial"/>
          <w:b/>
          <w:sz w:val="26"/>
          <w:szCs w:val="26"/>
        </w:rPr>
        <w:t>)</w:t>
      </w:r>
      <w:r w:rsidRPr="003E4AB7">
        <w:rPr>
          <w:rFonts w:ascii="Arial" w:hAnsi="Arial" w:cs="Arial"/>
          <w:b/>
          <w:sz w:val="26"/>
          <w:szCs w:val="26"/>
        </w:rPr>
        <w:cr/>
      </w:r>
    </w:p>
    <w:tbl>
      <w:tblPr>
        <w:tblStyle w:val="a3"/>
        <w:tblW w:w="5307" w:type="pct"/>
        <w:tblLayout w:type="fixed"/>
        <w:tblLook w:val="04A0" w:firstRow="1" w:lastRow="0" w:firstColumn="1" w:lastColumn="0" w:noHBand="0" w:noVBand="1"/>
      </w:tblPr>
      <w:tblGrid>
        <w:gridCol w:w="533"/>
        <w:gridCol w:w="2335"/>
        <w:gridCol w:w="2342"/>
        <w:gridCol w:w="4539"/>
        <w:gridCol w:w="1136"/>
        <w:gridCol w:w="1048"/>
        <w:gridCol w:w="995"/>
        <w:gridCol w:w="857"/>
        <w:gridCol w:w="568"/>
        <w:gridCol w:w="713"/>
        <w:gridCol w:w="19"/>
        <w:gridCol w:w="609"/>
      </w:tblGrid>
      <w:tr w:rsidR="00585528" w:rsidTr="002C0D43">
        <w:tc>
          <w:tcPr>
            <w:tcW w:w="170" w:type="pct"/>
            <w:vMerge w:val="restart"/>
          </w:tcPr>
          <w:p w:rsidR="00092D72" w:rsidRDefault="00092D72" w:rsidP="003E4AB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44" w:type="pct"/>
            <w:vMerge w:val="restart"/>
          </w:tcPr>
          <w:p w:rsidR="00092D72" w:rsidRDefault="00092D72" w:rsidP="003E4AB7">
            <w:pPr>
              <w:jc w:val="center"/>
            </w:pPr>
            <w:r>
              <w:t>Реквизиты документа (НПА, поручения и т.д.)</w:t>
            </w:r>
          </w:p>
        </w:tc>
        <w:tc>
          <w:tcPr>
            <w:tcW w:w="746" w:type="pct"/>
            <w:vMerge w:val="restart"/>
          </w:tcPr>
          <w:p w:rsidR="00092D72" w:rsidRDefault="00092D72" w:rsidP="003E4AB7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446" w:type="pct"/>
            <w:vMerge w:val="restart"/>
          </w:tcPr>
          <w:p w:rsidR="00092D72" w:rsidRDefault="00092D72" w:rsidP="003E4AB7">
            <w:pPr>
              <w:jc w:val="center"/>
            </w:pPr>
            <w:r>
              <w:t>Результат исполнения мероприятия</w:t>
            </w:r>
          </w:p>
        </w:tc>
        <w:tc>
          <w:tcPr>
            <w:tcW w:w="362" w:type="pct"/>
            <w:vMerge w:val="restart"/>
          </w:tcPr>
          <w:p w:rsidR="00092D72" w:rsidRDefault="00092D72" w:rsidP="003E4AB7">
            <w:pPr>
              <w:jc w:val="center"/>
            </w:pPr>
            <w:r>
              <w:t>Дата исполнения мероприятия (план)</w:t>
            </w:r>
          </w:p>
        </w:tc>
        <w:tc>
          <w:tcPr>
            <w:tcW w:w="334" w:type="pct"/>
            <w:vMerge w:val="restart"/>
          </w:tcPr>
          <w:p w:rsidR="00092D72" w:rsidRDefault="00092D72" w:rsidP="003E4AB7">
            <w:pPr>
              <w:jc w:val="center"/>
            </w:pPr>
            <w:r>
              <w:t>Дата исполнения мероприятия (факт)</w:t>
            </w:r>
          </w:p>
        </w:tc>
        <w:tc>
          <w:tcPr>
            <w:tcW w:w="1004" w:type="pct"/>
            <w:gridSpan w:val="5"/>
          </w:tcPr>
          <w:p w:rsidR="00092D72" w:rsidRDefault="00092D72" w:rsidP="003E4AB7">
            <w:pPr>
              <w:jc w:val="center"/>
            </w:pPr>
            <w:r>
              <w:t>Финансирование, предусмотренное бюджетом субъекта Российской Федерации (млн. руб.)</w:t>
            </w:r>
          </w:p>
        </w:tc>
        <w:tc>
          <w:tcPr>
            <w:tcW w:w="194" w:type="pct"/>
            <w:vMerge w:val="restart"/>
          </w:tcPr>
          <w:p w:rsidR="00092D72" w:rsidRDefault="00092D72" w:rsidP="003E4AB7">
            <w:pPr>
              <w:jc w:val="center"/>
            </w:pPr>
            <w:r>
              <w:t>Примечание</w:t>
            </w:r>
          </w:p>
        </w:tc>
      </w:tr>
      <w:tr w:rsidR="00585528" w:rsidTr="002C0D43">
        <w:tc>
          <w:tcPr>
            <w:tcW w:w="170" w:type="pct"/>
            <w:vMerge/>
          </w:tcPr>
          <w:p w:rsidR="00092D72" w:rsidRDefault="00092D72" w:rsidP="003E4AB7">
            <w:pPr>
              <w:jc w:val="center"/>
            </w:pPr>
          </w:p>
        </w:tc>
        <w:tc>
          <w:tcPr>
            <w:tcW w:w="744" w:type="pct"/>
            <w:vMerge/>
          </w:tcPr>
          <w:p w:rsidR="00092D72" w:rsidRDefault="00092D72" w:rsidP="003E4AB7">
            <w:pPr>
              <w:jc w:val="center"/>
            </w:pPr>
          </w:p>
        </w:tc>
        <w:tc>
          <w:tcPr>
            <w:tcW w:w="746" w:type="pct"/>
            <w:vMerge/>
          </w:tcPr>
          <w:p w:rsidR="00092D72" w:rsidRDefault="00092D72" w:rsidP="003E4AB7">
            <w:pPr>
              <w:jc w:val="center"/>
            </w:pPr>
          </w:p>
        </w:tc>
        <w:tc>
          <w:tcPr>
            <w:tcW w:w="1446" w:type="pct"/>
            <w:vMerge/>
          </w:tcPr>
          <w:p w:rsidR="00092D72" w:rsidRDefault="00092D72" w:rsidP="003E4AB7">
            <w:pPr>
              <w:jc w:val="center"/>
            </w:pPr>
          </w:p>
        </w:tc>
        <w:tc>
          <w:tcPr>
            <w:tcW w:w="362" w:type="pct"/>
            <w:vMerge/>
          </w:tcPr>
          <w:p w:rsidR="00092D72" w:rsidRDefault="00092D72" w:rsidP="003E4AB7">
            <w:pPr>
              <w:jc w:val="center"/>
            </w:pPr>
          </w:p>
        </w:tc>
        <w:tc>
          <w:tcPr>
            <w:tcW w:w="334" w:type="pct"/>
            <w:vMerge/>
          </w:tcPr>
          <w:p w:rsidR="00092D72" w:rsidRDefault="00092D72" w:rsidP="003E4AB7">
            <w:pPr>
              <w:jc w:val="center"/>
            </w:pPr>
          </w:p>
        </w:tc>
        <w:tc>
          <w:tcPr>
            <w:tcW w:w="317" w:type="pct"/>
          </w:tcPr>
          <w:p w:rsidR="00092D72" w:rsidRPr="00092D72" w:rsidRDefault="00092D72" w:rsidP="003E4AB7">
            <w:pPr>
              <w:jc w:val="center"/>
            </w:pPr>
            <w:r>
              <w:t>отчетная дата (период) значение показателя (</w:t>
            </w:r>
            <w:r>
              <w:rPr>
                <w:lang w:val="en-US"/>
              </w:rPr>
              <w:t>N</w:t>
            </w:r>
            <w:r w:rsidRPr="00092D72">
              <w:t>)</w:t>
            </w:r>
          </w:p>
        </w:tc>
        <w:tc>
          <w:tcPr>
            <w:tcW w:w="273" w:type="pct"/>
          </w:tcPr>
          <w:p w:rsidR="00092D72" w:rsidRDefault="00092D72" w:rsidP="003E4AB7">
            <w:pPr>
              <w:jc w:val="center"/>
            </w:pPr>
            <w:r>
              <w:t>плановое</w:t>
            </w:r>
          </w:p>
        </w:tc>
        <w:tc>
          <w:tcPr>
            <w:tcW w:w="181" w:type="pct"/>
          </w:tcPr>
          <w:p w:rsidR="00092D72" w:rsidRDefault="00092D72" w:rsidP="003E4AB7">
            <w:pPr>
              <w:jc w:val="center"/>
            </w:pPr>
            <w:r>
              <w:t>фактическое</w:t>
            </w:r>
          </w:p>
        </w:tc>
        <w:tc>
          <w:tcPr>
            <w:tcW w:w="233" w:type="pct"/>
            <w:gridSpan w:val="2"/>
          </w:tcPr>
          <w:p w:rsidR="00092D72" w:rsidRDefault="00092D72" w:rsidP="003E4AB7">
            <w:pPr>
              <w:jc w:val="center"/>
            </w:pPr>
            <w:r>
              <w:t>отклонение</w:t>
            </w:r>
          </w:p>
        </w:tc>
        <w:tc>
          <w:tcPr>
            <w:tcW w:w="194" w:type="pct"/>
            <w:vMerge/>
          </w:tcPr>
          <w:p w:rsidR="00092D72" w:rsidRDefault="00092D72" w:rsidP="003E4AB7">
            <w:pPr>
              <w:jc w:val="center"/>
            </w:pPr>
          </w:p>
        </w:tc>
      </w:tr>
      <w:tr w:rsidR="00585528" w:rsidTr="002C0D43">
        <w:tc>
          <w:tcPr>
            <w:tcW w:w="170" w:type="pct"/>
          </w:tcPr>
          <w:p w:rsidR="00092D72" w:rsidRDefault="00A3022F" w:rsidP="003E4AB7">
            <w:pPr>
              <w:jc w:val="center"/>
            </w:pPr>
            <w:r>
              <w:t>1</w:t>
            </w:r>
          </w:p>
        </w:tc>
        <w:tc>
          <w:tcPr>
            <w:tcW w:w="744" w:type="pct"/>
          </w:tcPr>
          <w:p w:rsidR="00092D72" w:rsidRDefault="00A3022F" w:rsidP="003E4AB7">
            <w:pPr>
              <w:jc w:val="center"/>
            </w:pPr>
            <w:r>
              <w:t>2</w:t>
            </w:r>
          </w:p>
        </w:tc>
        <w:tc>
          <w:tcPr>
            <w:tcW w:w="746" w:type="pct"/>
          </w:tcPr>
          <w:p w:rsidR="00092D72" w:rsidRDefault="00A3022F" w:rsidP="003E4AB7">
            <w:pPr>
              <w:jc w:val="center"/>
            </w:pPr>
            <w:r>
              <w:t>3</w:t>
            </w:r>
          </w:p>
        </w:tc>
        <w:tc>
          <w:tcPr>
            <w:tcW w:w="1446" w:type="pct"/>
          </w:tcPr>
          <w:p w:rsidR="00092D72" w:rsidRDefault="00A3022F" w:rsidP="003E4AB7">
            <w:pPr>
              <w:jc w:val="center"/>
            </w:pPr>
            <w:r>
              <w:t>4</w:t>
            </w:r>
          </w:p>
        </w:tc>
        <w:tc>
          <w:tcPr>
            <w:tcW w:w="362" w:type="pct"/>
          </w:tcPr>
          <w:p w:rsidR="00092D72" w:rsidRDefault="00A3022F" w:rsidP="003E4AB7">
            <w:pPr>
              <w:jc w:val="center"/>
            </w:pPr>
            <w:r>
              <w:t>5</w:t>
            </w:r>
          </w:p>
        </w:tc>
        <w:tc>
          <w:tcPr>
            <w:tcW w:w="334" w:type="pct"/>
          </w:tcPr>
          <w:p w:rsidR="00092D72" w:rsidRDefault="00A3022F" w:rsidP="003E4AB7">
            <w:pPr>
              <w:jc w:val="center"/>
            </w:pPr>
            <w:r>
              <w:t>6</w:t>
            </w:r>
          </w:p>
        </w:tc>
        <w:tc>
          <w:tcPr>
            <w:tcW w:w="317" w:type="pct"/>
          </w:tcPr>
          <w:p w:rsidR="00092D72" w:rsidRDefault="00A3022F" w:rsidP="003E4AB7">
            <w:pPr>
              <w:jc w:val="center"/>
            </w:pPr>
            <w:r>
              <w:t>7</w:t>
            </w:r>
          </w:p>
        </w:tc>
        <w:tc>
          <w:tcPr>
            <w:tcW w:w="273" w:type="pct"/>
          </w:tcPr>
          <w:p w:rsidR="00092D72" w:rsidRDefault="00A3022F" w:rsidP="003E4AB7">
            <w:pPr>
              <w:jc w:val="center"/>
            </w:pPr>
            <w:r>
              <w:t>8</w:t>
            </w:r>
          </w:p>
        </w:tc>
        <w:tc>
          <w:tcPr>
            <w:tcW w:w="181" w:type="pct"/>
          </w:tcPr>
          <w:p w:rsidR="00092D72" w:rsidRDefault="00A3022F" w:rsidP="003E4AB7">
            <w:pPr>
              <w:jc w:val="center"/>
            </w:pPr>
            <w:r>
              <w:t>9</w:t>
            </w:r>
          </w:p>
        </w:tc>
        <w:tc>
          <w:tcPr>
            <w:tcW w:w="233" w:type="pct"/>
            <w:gridSpan w:val="2"/>
          </w:tcPr>
          <w:p w:rsidR="00092D72" w:rsidRDefault="00A3022F" w:rsidP="003E4AB7">
            <w:pPr>
              <w:jc w:val="center"/>
            </w:pPr>
            <w:r>
              <w:t>10</w:t>
            </w:r>
          </w:p>
        </w:tc>
        <w:tc>
          <w:tcPr>
            <w:tcW w:w="194" w:type="pct"/>
          </w:tcPr>
          <w:p w:rsidR="00092D72" w:rsidRDefault="00A3022F" w:rsidP="003E4AB7">
            <w:pPr>
              <w:jc w:val="center"/>
            </w:pPr>
            <w:r>
              <w:t>11</w:t>
            </w:r>
          </w:p>
        </w:tc>
      </w:tr>
      <w:tr w:rsidR="00092D72" w:rsidTr="005210E4">
        <w:tc>
          <w:tcPr>
            <w:tcW w:w="5000" w:type="pct"/>
            <w:gridSpan w:val="12"/>
          </w:tcPr>
          <w:p w:rsidR="00092D72" w:rsidRPr="00092D72" w:rsidRDefault="00092D72" w:rsidP="00092D72">
            <w:pPr>
              <w:jc w:val="center"/>
              <w:rPr>
                <w:b/>
              </w:rPr>
            </w:pPr>
            <w:r w:rsidRPr="00092D72">
              <w:rPr>
                <w:b/>
              </w:rPr>
              <w:t>Указ Президента Российской Федерации от 07 мая 2012г. №596</w:t>
            </w:r>
          </w:p>
        </w:tc>
      </w:tr>
      <w:tr w:rsidR="00092D72" w:rsidTr="005210E4">
        <w:tc>
          <w:tcPr>
            <w:tcW w:w="5000" w:type="pct"/>
            <w:gridSpan w:val="12"/>
          </w:tcPr>
          <w:p w:rsidR="00092D72" w:rsidRPr="00092D72" w:rsidRDefault="00092D72" w:rsidP="00092D72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092D72">
              <w:rPr>
                <w:b/>
              </w:rPr>
              <w:t>величение объема инвестиций не менее чем до 25 процентов в</w:t>
            </w:r>
            <w:r>
              <w:rPr>
                <w:b/>
              </w:rPr>
              <w:t xml:space="preserve">нутреннего валового продукта к </w:t>
            </w:r>
            <w:r w:rsidRPr="00092D72">
              <w:rPr>
                <w:b/>
              </w:rPr>
              <w:t>2015 году и до 27 процентов - к 2018 году</w:t>
            </w:r>
          </w:p>
        </w:tc>
      </w:tr>
      <w:tr w:rsidR="00585528" w:rsidTr="002C0D43">
        <w:tc>
          <w:tcPr>
            <w:tcW w:w="170" w:type="pct"/>
          </w:tcPr>
          <w:p w:rsidR="00092D72" w:rsidRDefault="006F0675" w:rsidP="006F0675">
            <w:r>
              <w:t>1.</w:t>
            </w:r>
          </w:p>
        </w:tc>
        <w:tc>
          <w:tcPr>
            <w:tcW w:w="744" w:type="pct"/>
          </w:tcPr>
          <w:p w:rsidR="00092D72" w:rsidRPr="006F0675" w:rsidRDefault="006F0675" w:rsidP="006F0675">
            <w:r w:rsidRPr="006F0675">
              <w:t>Постановление Правительства Тюменской области от 08.04.2013г.  №114-п</w:t>
            </w:r>
            <w:r w:rsidR="00B05A7C">
              <w:t xml:space="preserve"> </w:t>
            </w:r>
            <w:r w:rsidR="00B05A7C" w:rsidRPr="00B05A7C">
              <w:t>«О порядке отбора муниципальных образований для предоставления субсидий местным бюджетам на поддержку инвестиционной деятельности»</w:t>
            </w:r>
          </w:p>
        </w:tc>
        <w:tc>
          <w:tcPr>
            <w:tcW w:w="746" w:type="pct"/>
          </w:tcPr>
          <w:p w:rsidR="00092D72" w:rsidRPr="006F0675" w:rsidRDefault="00B05A7C" w:rsidP="00B05A7C">
            <w:r>
              <w:t>Финансовая поддержка  инвестиционной деятельности</w:t>
            </w:r>
          </w:p>
        </w:tc>
        <w:tc>
          <w:tcPr>
            <w:tcW w:w="1446" w:type="pct"/>
          </w:tcPr>
          <w:p w:rsidR="00B05A7C" w:rsidRPr="009A41EB" w:rsidRDefault="00B05A7C" w:rsidP="00A3022F">
            <w:pPr>
              <w:spacing w:line="240" w:lineRule="atLeast"/>
              <w:jc w:val="both"/>
            </w:pPr>
            <w:proofErr w:type="gramStart"/>
            <w:r w:rsidRPr="009A41EB">
              <w:t>Субсидии предоставляются муниципальным образованиям, на территории которых реализуется муниципальный инвестиционный проект по созданию нового производства на свободном земельном участке, включенный в реестр реализуемых инвестиционных проектов в Тюменской области, общей стоимостью не менее 50 млн. рублей, обеспечивающий создание не менее 10 рабочих мест, на условиях совместного участия в финансировании проекта, где доля инвестора в реализации проекта составляет не менее 50 процентов</w:t>
            </w:r>
            <w:proofErr w:type="gramEnd"/>
            <w:r w:rsidRPr="009A41EB">
              <w:t xml:space="preserve"> его общей стоимости. </w:t>
            </w:r>
          </w:p>
          <w:p w:rsidR="00092D72" w:rsidRDefault="00B05A7C" w:rsidP="00A3022F">
            <w:pPr>
              <w:jc w:val="both"/>
            </w:pPr>
            <w:r w:rsidRPr="009A41EB">
              <w:t xml:space="preserve">Формы субсидирования: возмещение части затрат на оплату % по рублевым и валютным договорам кредита; возмещение части затрат инвестора на развитие лизинга оборудования; возмещение части затрат на </w:t>
            </w:r>
            <w:r w:rsidRPr="009A41EB">
              <w:lastRenderedPageBreak/>
              <w:t>инженерно-инфраструктурное обустройство площадки.</w:t>
            </w:r>
          </w:p>
          <w:p w:rsidR="00B41198" w:rsidRPr="006F0675" w:rsidRDefault="00B41198" w:rsidP="00A3022F">
            <w:pPr>
              <w:jc w:val="both"/>
            </w:pPr>
          </w:p>
        </w:tc>
        <w:tc>
          <w:tcPr>
            <w:tcW w:w="362" w:type="pct"/>
          </w:tcPr>
          <w:p w:rsidR="00092D72" w:rsidRDefault="00092D72" w:rsidP="008F5294">
            <w:pPr>
              <w:ind w:right="-1002"/>
            </w:pPr>
          </w:p>
        </w:tc>
        <w:tc>
          <w:tcPr>
            <w:tcW w:w="334" w:type="pct"/>
          </w:tcPr>
          <w:p w:rsidR="00092D72" w:rsidRDefault="00092D72" w:rsidP="003E4AB7">
            <w:pPr>
              <w:jc w:val="center"/>
            </w:pPr>
          </w:p>
        </w:tc>
        <w:tc>
          <w:tcPr>
            <w:tcW w:w="317" w:type="pct"/>
          </w:tcPr>
          <w:p w:rsidR="00092D72" w:rsidRDefault="00092D72" w:rsidP="003E4AB7">
            <w:pPr>
              <w:jc w:val="center"/>
            </w:pPr>
          </w:p>
        </w:tc>
        <w:tc>
          <w:tcPr>
            <w:tcW w:w="273" w:type="pct"/>
          </w:tcPr>
          <w:p w:rsidR="00092D72" w:rsidRDefault="00092D72" w:rsidP="003E4AB7">
            <w:pPr>
              <w:jc w:val="center"/>
            </w:pPr>
          </w:p>
        </w:tc>
        <w:tc>
          <w:tcPr>
            <w:tcW w:w="181" w:type="pct"/>
          </w:tcPr>
          <w:p w:rsidR="00092D72" w:rsidRDefault="00092D72" w:rsidP="003E4AB7">
            <w:pPr>
              <w:jc w:val="center"/>
            </w:pPr>
          </w:p>
        </w:tc>
        <w:tc>
          <w:tcPr>
            <w:tcW w:w="227" w:type="pct"/>
          </w:tcPr>
          <w:p w:rsidR="00092D72" w:rsidRDefault="00092D72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092D72" w:rsidRDefault="00092D72" w:rsidP="003E4AB7">
            <w:pPr>
              <w:jc w:val="center"/>
            </w:pPr>
          </w:p>
        </w:tc>
      </w:tr>
      <w:tr w:rsidR="00585528" w:rsidTr="002C0D43">
        <w:tc>
          <w:tcPr>
            <w:tcW w:w="170" w:type="pct"/>
          </w:tcPr>
          <w:p w:rsidR="00092D72" w:rsidRDefault="006F0675" w:rsidP="006F0675">
            <w:r>
              <w:lastRenderedPageBreak/>
              <w:t>2.</w:t>
            </w:r>
          </w:p>
        </w:tc>
        <w:tc>
          <w:tcPr>
            <w:tcW w:w="744" w:type="pct"/>
          </w:tcPr>
          <w:p w:rsidR="00092D72" w:rsidRPr="00B05A7C" w:rsidRDefault="00B05A7C" w:rsidP="00734A79">
            <w:r w:rsidRPr="00B05A7C">
              <w:t xml:space="preserve">Закон Тюменской области от </w:t>
            </w:r>
            <w:r w:rsidR="00734A79">
              <w:t>21.11.2014 № 92</w:t>
            </w:r>
            <w:r w:rsidRPr="00B05A7C">
              <w:t xml:space="preserve"> "О предос</w:t>
            </w:r>
            <w:r w:rsidR="00734A79">
              <w:t>тавлении налоговых льгот на 2015 год и на плановый период 2016 и 2017</w:t>
            </w:r>
            <w:r w:rsidRPr="00B05A7C">
              <w:t xml:space="preserve"> годов отдельным категориям налогоплательщиков"</w:t>
            </w:r>
          </w:p>
        </w:tc>
        <w:tc>
          <w:tcPr>
            <w:tcW w:w="746" w:type="pct"/>
          </w:tcPr>
          <w:p w:rsidR="00092D72" w:rsidRPr="00B05A7C" w:rsidRDefault="00B05A7C" w:rsidP="00B05A7C">
            <w:r>
              <w:t>Финансовая поддержка  инвестиционной деятельности</w:t>
            </w:r>
          </w:p>
        </w:tc>
        <w:tc>
          <w:tcPr>
            <w:tcW w:w="1446" w:type="pct"/>
          </w:tcPr>
          <w:p w:rsidR="00B05A7C" w:rsidRPr="009A41EB" w:rsidRDefault="00C86D23" w:rsidP="00A3022F">
            <w:pPr>
              <w:spacing w:line="240" w:lineRule="atLeast"/>
              <w:ind w:right="125"/>
              <w:jc w:val="both"/>
            </w:pPr>
            <w:r>
              <w:t>1.</w:t>
            </w:r>
            <w:r w:rsidR="00B05A7C" w:rsidRPr="009A41EB">
              <w:t xml:space="preserve">На текущий год и на плановый период устанавливаются налоговые льготы для отдельных категорий налогоплательщиков. </w:t>
            </w:r>
          </w:p>
          <w:p w:rsidR="00B05A7C" w:rsidRPr="009A41EB" w:rsidRDefault="00B05A7C" w:rsidP="00A3022F">
            <w:pPr>
              <w:spacing w:line="240" w:lineRule="atLeast"/>
              <w:ind w:right="125"/>
              <w:jc w:val="both"/>
            </w:pPr>
            <w:r w:rsidRPr="009A41EB">
              <w:t xml:space="preserve">Льгота может быть предоставлена </w:t>
            </w:r>
          </w:p>
          <w:p w:rsidR="00B05A7C" w:rsidRPr="009A41EB" w:rsidRDefault="00B05A7C" w:rsidP="00A3022F">
            <w:pPr>
              <w:spacing w:line="240" w:lineRule="atLeast"/>
              <w:ind w:right="125"/>
              <w:jc w:val="both"/>
            </w:pPr>
            <w:r w:rsidRPr="009A41EB">
              <w:t xml:space="preserve">1. по налогу на прибыль организаций, подлежащего зачислению в бюджеты субъектов Российской Федерации, в размере не более 4 процентов; </w:t>
            </w:r>
          </w:p>
          <w:p w:rsidR="00B05A7C" w:rsidRPr="009A41EB" w:rsidRDefault="00B05A7C" w:rsidP="00A3022F">
            <w:pPr>
              <w:spacing w:line="240" w:lineRule="atLeast"/>
              <w:ind w:right="125"/>
              <w:jc w:val="both"/>
            </w:pPr>
            <w:r w:rsidRPr="009A41EB">
              <w:t>2. по налогу на имущество организаций;</w:t>
            </w:r>
          </w:p>
          <w:p w:rsidR="00092D72" w:rsidRDefault="00B05A7C" w:rsidP="00A3022F">
            <w:pPr>
              <w:jc w:val="both"/>
            </w:pPr>
            <w:r w:rsidRPr="009A41EB">
              <w:t>3. по транспортному налогу.</w:t>
            </w:r>
          </w:p>
          <w:p w:rsidR="00C86D23" w:rsidRDefault="00C86D23" w:rsidP="00C86D23">
            <w:pPr>
              <w:jc w:val="both"/>
              <w:rPr>
                <w:rFonts w:eastAsia="Times New Roman" w:cstheme="minorHAnsi"/>
                <w:noProof/>
                <w:highlight w:val="yellow"/>
                <w:lang w:eastAsia="ru-RU"/>
              </w:rPr>
            </w:pPr>
            <w:r w:rsidRPr="00734A79">
              <w:rPr>
                <w:rFonts w:cstheme="minorHAnsi"/>
              </w:rPr>
              <w:t xml:space="preserve"> </w:t>
            </w:r>
            <w:r w:rsidRPr="00734A79">
              <w:rPr>
                <w:rFonts w:eastAsia="Times New Roman" w:cstheme="minorHAnsi"/>
                <w:noProof/>
                <w:lang w:eastAsia="ru-RU"/>
              </w:rPr>
              <w:t>Для оптимизации получения налоговых льгот предусмотрено, что любой инвестор, вкладывающий в обрабатывающие сектора реальной экономики региона более 300 млн рублей, с 1 января 2015 года освобождается от налога на имущество продолжительностью до трех лет автоматически.</w:t>
            </w:r>
          </w:p>
          <w:p w:rsidR="00663796" w:rsidRDefault="00663796" w:rsidP="00663796">
            <w:pPr>
              <w:pStyle w:val="a4"/>
              <w:tabs>
                <w:tab w:val="left" w:pos="4288"/>
                <w:tab w:val="left" w:pos="4323"/>
              </w:tabs>
              <w:ind w:left="0" w:right="35" w:firstLine="187"/>
              <w:jc w:val="both"/>
              <w:rPr>
                <w:rFonts w:eastAsia="Times New Roman" w:cstheme="minorHAnsi"/>
                <w:noProof/>
                <w:lang w:eastAsia="ru-RU"/>
              </w:rPr>
            </w:pPr>
          </w:p>
          <w:p w:rsidR="00DE7EC8" w:rsidRPr="00C86D23" w:rsidRDefault="00DE7EC8" w:rsidP="00C86D23">
            <w:pPr>
              <w:jc w:val="both"/>
              <w:rPr>
                <w:rFonts w:cstheme="minorHAnsi"/>
              </w:rPr>
            </w:pPr>
          </w:p>
          <w:p w:rsidR="00C86D23" w:rsidRPr="006F0675" w:rsidRDefault="00C86D23" w:rsidP="00C86D23">
            <w:pPr>
              <w:jc w:val="both"/>
            </w:pPr>
          </w:p>
        </w:tc>
        <w:tc>
          <w:tcPr>
            <w:tcW w:w="362" w:type="pct"/>
          </w:tcPr>
          <w:p w:rsidR="00092D72" w:rsidRDefault="00092D72" w:rsidP="003E4AB7">
            <w:pPr>
              <w:jc w:val="center"/>
            </w:pPr>
          </w:p>
        </w:tc>
        <w:tc>
          <w:tcPr>
            <w:tcW w:w="334" w:type="pct"/>
          </w:tcPr>
          <w:p w:rsidR="00092D72" w:rsidRDefault="00092D72" w:rsidP="003E4AB7">
            <w:pPr>
              <w:jc w:val="center"/>
            </w:pPr>
          </w:p>
        </w:tc>
        <w:tc>
          <w:tcPr>
            <w:tcW w:w="317" w:type="pct"/>
          </w:tcPr>
          <w:p w:rsidR="00092D72" w:rsidRDefault="00092D72" w:rsidP="003E4AB7">
            <w:pPr>
              <w:jc w:val="center"/>
            </w:pPr>
          </w:p>
        </w:tc>
        <w:tc>
          <w:tcPr>
            <w:tcW w:w="273" w:type="pct"/>
          </w:tcPr>
          <w:p w:rsidR="00092D72" w:rsidRDefault="00092D72" w:rsidP="003E4AB7">
            <w:pPr>
              <w:jc w:val="center"/>
            </w:pPr>
          </w:p>
        </w:tc>
        <w:tc>
          <w:tcPr>
            <w:tcW w:w="181" w:type="pct"/>
          </w:tcPr>
          <w:p w:rsidR="00092D72" w:rsidRDefault="00092D72" w:rsidP="003E4AB7">
            <w:pPr>
              <w:jc w:val="center"/>
            </w:pPr>
          </w:p>
        </w:tc>
        <w:tc>
          <w:tcPr>
            <w:tcW w:w="227" w:type="pct"/>
          </w:tcPr>
          <w:p w:rsidR="00092D72" w:rsidRDefault="00092D72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092D72" w:rsidRDefault="00092D72" w:rsidP="003E4AB7">
            <w:pPr>
              <w:jc w:val="center"/>
            </w:pPr>
          </w:p>
        </w:tc>
      </w:tr>
      <w:tr w:rsidR="00734A79" w:rsidTr="002C0D43">
        <w:tc>
          <w:tcPr>
            <w:tcW w:w="170" w:type="pct"/>
          </w:tcPr>
          <w:p w:rsidR="00734A79" w:rsidRDefault="00EC679C" w:rsidP="006F0675">
            <w:r>
              <w:t>3.</w:t>
            </w:r>
          </w:p>
        </w:tc>
        <w:tc>
          <w:tcPr>
            <w:tcW w:w="744" w:type="pct"/>
          </w:tcPr>
          <w:p w:rsidR="00734A79" w:rsidRPr="00734A79" w:rsidRDefault="00734A79" w:rsidP="00734A79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</w:rPr>
            </w:pPr>
            <w:r w:rsidRPr="00734A79">
              <w:rPr>
                <w:rFonts w:ascii="Calibri" w:eastAsia="Calibri" w:hAnsi="Calibri" w:cs="Calibri"/>
                <w:bCs/>
              </w:rPr>
              <w:t>Закон Тюменс</w:t>
            </w:r>
            <w:r>
              <w:rPr>
                <w:rFonts w:ascii="Calibri" w:eastAsia="Calibri" w:hAnsi="Calibri" w:cs="Calibri"/>
                <w:bCs/>
              </w:rPr>
              <w:t>кой области от 31.03.2015 № 20 « Об установлении</w:t>
            </w:r>
            <w:r w:rsidRPr="00734A79">
              <w:rPr>
                <w:rFonts w:ascii="Calibri" w:eastAsia="Calibri" w:hAnsi="Calibri" w:cs="Calibri"/>
                <w:bCs/>
              </w:rPr>
              <w:t xml:space="preserve"> </w:t>
            </w:r>
            <w:r>
              <w:rPr>
                <w:rFonts w:ascii="Calibri" w:eastAsia="Calibri" w:hAnsi="Calibri" w:cs="Calibri"/>
                <w:bCs/>
              </w:rPr>
              <w:t>нало</w:t>
            </w:r>
            <w:r w:rsidR="002C0D43">
              <w:rPr>
                <w:rFonts w:ascii="Calibri" w:eastAsia="Calibri" w:hAnsi="Calibri" w:cs="Calibri"/>
                <w:bCs/>
              </w:rPr>
              <w:t xml:space="preserve">говой ставки в размере 0 процентов для отдельных категорий налогоплательщиков – индивидуальных предпринимателей при применении упрощённой системы налогообложения и патентной системы </w:t>
            </w:r>
            <w:r w:rsidR="002C0D43">
              <w:rPr>
                <w:rFonts w:ascii="Calibri" w:eastAsia="Calibri" w:hAnsi="Calibri" w:cs="Calibri"/>
                <w:bCs/>
              </w:rPr>
              <w:lastRenderedPageBreak/>
              <w:t>налогообложения в Тюменской области»</w:t>
            </w:r>
          </w:p>
          <w:p w:rsidR="00734A79" w:rsidRPr="00B05A7C" w:rsidRDefault="00734A79" w:rsidP="002C0D4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6" w:type="pct"/>
          </w:tcPr>
          <w:p w:rsidR="00734A79" w:rsidRDefault="00EC679C" w:rsidP="00B05A7C">
            <w:r>
              <w:lastRenderedPageBreak/>
              <w:t>Финансовая поддержка  инвестиционной деятельности</w:t>
            </w:r>
          </w:p>
        </w:tc>
        <w:tc>
          <w:tcPr>
            <w:tcW w:w="1446" w:type="pct"/>
          </w:tcPr>
          <w:p w:rsidR="00734A79" w:rsidRPr="00EC679C" w:rsidRDefault="00734A79" w:rsidP="00734A79">
            <w:pPr>
              <w:pStyle w:val="a4"/>
              <w:tabs>
                <w:tab w:val="left" w:pos="4288"/>
                <w:tab w:val="left" w:pos="4323"/>
              </w:tabs>
              <w:ind w:left="0" w:right="35" w:firstLine="35"/>
              <w:jc w:val="both"/>
              <w:rPr>
                <w:rFonts w:cstheme="minorHAnsi"/>
              </w:rPr>
            </w:pPr>
            <w:r w:rsidRPr="00EC679C">
              <w:rPr>
                <w:rFonts w:cstheme="minorHAnsi"/>
              </w:rPr>
              <w:t>Принят закон, устанавливающий налоговые каникулы для индивидуальных предпринимателей, применяющих УСН и патентную систему налогообложения.</w:t>
            </w:r>
          </w:p>
          <w:p w:rsidR="00734A79" w:rsidRPr="00EC679C" w:rsidRDefault="00734A79" w:rsidP="00A3022F">
            <w:pPr>
              <w:spacing w:line="240" w:lineRule="atLeast"/>
              <w:ind w:right="125"/>
              <w:jc w:val="both"/>
            </w:pPr>
          </w:p>
        </w:tc>
        <w:tc>
          <w:tcPr>
            <w:tcW w:w="362" w:type="pct"/>
          </w:tcPr>
          <w:p w:rsidR="00734A79" w:rsidRDefault="00734A79" w:rsidP="003E4AB7">
            <w:pPr>
              <w:jc w:val="center"/>
            </w:pPr>
          </w:p>
        </w:tc>
        <w:tc>
          <w:tcPr>
            <w:tcW w:w="334" w:type="pct"/>
          </w:tcPr>
          <w:p w:rsidR="00734A79" w:rsidRDefault="00734A79" w:rsidP="003E4AB7">
            <w:pPr>
              <w:jc w:val="center"/>
            </w:pPr>
          </w:p>
        </w:tc>
        <w:tc>
          <w:tcPr>
            <w:tcW w:w="317" w:type="pct"/>
          </w:tcPr>
          <w:p w:rsidR="00734A79" w:rsidRDefault="00734A79" w:rsidP="003E4AB7">
            <w:pPr>
              <w:jc w:val="center"/>
            </w:pPr>
          </w:p>
        </w:tc>
        <w:tc>
          <w:tcPr>
            <w:tcW w:w="273" w:type="pct"/>
          </w:tcPr>
          <w:p w:rsidR="00734A79" w:rsidRDefault="00734A79" w:rsidP="003E4AB7">
            <w:pPr>
              <w:jc w:val="center"/>
            </w:pPr>
          </w:p>
        </w:tc>
        <w:tc>
          <w:tcPr>
            <w:tcW w:w="181" w:type="pct"/>
          </w:tcPr>
          <w:p w:rsidR="00734A79" w:rsidRDefault="00734A79" w:rsidP="003E4AB7">
            <w:pPr>
              <w:jc w:val="center"/>
            </w:pPr>
          </w:p>
        </w:tc>
        <w:tc>
          <w:tcPr>
            <w:tcW w:w="227" w:type="pct"/>
          </w:tcPr>
          <w:p w:rsidR="00734A79" w:rsidRDefault="00734A79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734A79" w:rsidRDefault="00734A79" w:rsidP="003E4AB7">
            <w:pPr>
              <w:jc w:val="center"/>
            </w:pPr>
          </w:p>
        </w:tc>
      </w:tr>
      <w:tr w:rsidR="002C0D43" w:rsidTr="002C0D43">
        <w:tc>
          <w:tcPr>
            <w:tcW w:w="170" w:type="pct"/>
          </w:tcPr>
          <w:p w:rsidR="002C0D43" w:rsidRDefault="00EC679C" w:rsidP="006F0675">
            <w:r>
              <w:lastRenderedPageBreak/>
              <w:t>4.</w:t>
            </w:r>
          </w:p>
        </w:tc>
        <w:tc>
          <w:tcPr>
            <w:tcW w:w="744" w:type="pct"/>
          </w:tcPr>
          <w:p w:rsidR="002C0D43" w:rsidRPr="00734A79" w:rsidRDefault="002C0D43" w:rsidP="00667D03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</w:rPr>
            </w:pPr>
            <w:r w:rsidRPr="00734A79">
              <w:rPr>
                <w:rFonts w:ascii="Calibri" w:eastAsia="Calibri" w:hAnsi="Calibri" w:cs="Calibri"/>
                <w:bCs/>
              </w:rPr>
              <w:t>Закон Тюменской области от 31.03.2015 № 21 « О моратории на повышение налоговой ставки для налогоплательщиков,</w:t>
            </w:r>
            <w:r>
              <w:rPr>
                <w:rFonts w:ascii="Calibri" w:eastAsia="Calibri" w:hAnsi="Calibri" w:cs="Calibri"/>
                <w:bCs/>
              </w:rPr>
              <w:t xml:space="preserve"> </w:t>
            </w:r>
            <w:r w:rsidRPr="00734A79">
              <w:rPr>
                <w:rFonts w:ascii="Calibri" w:eastAsia="Calibri" w:hAnsi="Calibri" w:cs="Calibri"/>
                <w:bCs/>
              </w:rPr>
              <w:t>применяющих упрощенную систему налогообложения»</w:t>
            </w:r>
          </w:p>
          <w:p w:rsidR="002C0D43" w:rsidRDefault="002C0D43" w:rsidP="00667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:rsidR="002C0D43" w:rsidRPr="00B05A7C" w:rsidRDefault="002C0D43" w:rsidP="00667D03"/>
        </w:tc>
        <w:tc>
          <w:tcPr>
            <w:tcW w:w="746" w:type="pct"/>
          </w:tcPr>
          <w:p w:rsidR="002C0D43" w:rsidRDefault="00EC679C" w:rsidP="00667D03">
            <w:r>
              <w:t>Финансовая поддержка  инвестиционной деятельности</w:t>
            </w:r>
          </w:p>
        </w:tc>
        <w:tc>
          <w:tcPr>
            <w:tcW w:w="1446" w:type="pct"/>
          </w:tcPr>
          <w:p w:rsidR="002C0D43" w:rsidRPr="00EC679C" w:rsidRDefault="002C0D43" w:rsidP="00667D03">
            <w:pPr>
              <w:pStyle w:val="a4"/>
              <w:tabs>
                <w:tab w:val="left" w:pos="4288"/>
                <w:tab w:val="left" w:pos="4323"/>
              </w:tabs>
              <w:ind w:left="0" w:right="35" w:firstLine="35"/>
              <w:jc w:val="both"/>
              <w:rPr>
                <w:rFonts w:cstheme="minorHAnsi"/>
              </w:rPr>
            </w:pPr>
            <w:r w:rsidRPr="00EC679C">
              <w:rPr>
                <w:rFonts w:cstheme="minorHAnsi"/>
              </w:rPr>
              <w:t xml:space="preserve">Принят закон, устанавливающий мораторий на повышение налоговой нагрузки для налогоплательщиков Тюменской области, применяющих УСН (по системе «доходы минус расходы») на период до 2019 года. Ставка сохраняется на уровне 5% на весь этот период, </w:t>
            </w:r>
          </w:p>
          <w:p w:rsidR="002C0D43" w:rsidRPr="00EC679C" w:rsidRDefault="002C0D43" w:rsidP="00667D03">
            <w:pPr>
              <w:pStyle w:val="a4"/>
              <w:tabs>
                <w:tab w:val="left" w:pos="4288"/>
                <w:tab w:val="left" w:pos="4323"/>
              </w:tabs>
              <w:ind w:left="0" w:right="35" w:firstLine="35"/>
              <w:jc w:val="both"/>
            </w:pPr>
          </w:p>
        </w:tc>
        <w:tc>
          <w:tcPr>
            <w:tcW w:w="362" w:type="pct"/>
          </w:tcPr>
          <w:p w:rsidR="002C0D43" w:rsidRDefault="002C0D43" w:rsidP="003E4AB7">
            <w:pPr>
              <w:jc w:val="center"/>
            </w:pPr>
          </w:p>
        </w:tc>
        <w:tc>
          <w:tcPr>
            <w:tcW w:w="334" w:type="pct"/>
          </w:tcPr>
          <w:p w:rsidR="002C0D43" w:rsidRDefault="002C0D43" w:rsidP="003E4AB7">
            <w:pPr>
              <w:jc w:val="center"/>
            </w:pPr>
          </w:p>
        </w:tc>
        <w:tc>
          <w:tcPr>
            <w:tcW w:w="317" w:type="pct"/>
          </w:tcPr>
          <w:p w:rsidR="002C0D43" w:rsidRDefault="002C0D43" w:rsidP="003E4AB7">
            <w:pPr>
              <w:jc w:val="center"/>
            </w:pPr>
          </w:p>
        </w:tc>
        <w:tc>
          <w:tcPr>
            <w:tcW w:w="273" w:type="pct"/>
          </w:tcPr>
          <w:p w:rsidR="002C0D43" w:rsidRDefault="002C0D43" w:rsidP="003E4AB7">
            <w:pPr>
              <w:jc w:val="center"/>
            </w:pPr>
          </w:p>
        </w:tc>
        <w:tc>
          <w:tcPr>
            <w:tcW w:w="181" w:type="pct"/>
          </w:tcPr>
          <w:p w:rsidR="002C0D43" w:rsidRDefault="002C0D43" w:rsidP="003E4AB7">
            <w:pPr>
              <w:jc w:val="center"/>
            </w:pPr>
          </w:p>
        </w:tc>
        <w:tc>
          <w:tcPr>
            <w:tcW w:w="227" w:type="pct"/>
          </w:tcPr>
          <w:p w:rsidR="002C0D43" w:rsidRDefault="002C0D43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2C0D43" w:rsidRDefault="002C0D43" w:rsidP="003E4AB7">
            <w:pPr>
              <w:jc w:val="center"/>
            </w:pPr>
          </w:p>
        </w:tc>
      </w:tr>
      <w:tr w:rsidR="002C0D43" w:rsidTr="00EC679C">
        <w:trPr>
          <w:trHeight w:val="282"/>
        </w:trPr>
        <w:tc>
          <w:tcPr>
            <w:tcW w:w="170" w:type="pct"/>
          </w:tcPr>
          <w:p w:rsidR="002C0D43" w:rsidRDefault="00EC679C" w:rsidP="006F0675">
            <w:r>
              <w:t>5.</w:t>
            </w:r>
          </w:p>
        </w:tc>
        <w:tc>
          <w:tcPr>
            <w:tcW w:w="744" w:type="pct"/>
          </w:tcPr>
          <w:p w:rsidR="002C0D43" w:rsidRPr="00EC679C" w:rsidRDefault="002C0D43" w:rsidP="00EC67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Cs/>
              </w:rPr>
            </w:pPr>
            <w:r w:rsidRPr="00EC679C">
              <w:rPr>
                <w:rFonts w:ascii="Calibri" w:eastAsia="Calibri" w:hAnsi="Calibri" w:cs="Calibri"/>
                <w:bCs/>
              </w:rPr>
              <w:t xml:space="preserve">Постановление Правительства Тюменской области от 07 мая 2007 года № 105-п « О порядках отбора промышленных  предприятий, операторов индустриальных парков на получение </w:t>
            </w:r>
            <w:r w:rsidR="00EC679C" w:rsidRPr="00EC679C">
              <w:rPr>
                <w:rFonts w:ascii="Calibri" w:eastAsia="Calibri" w:hAnsi="Calibri" w:cs="Calibri"/>
                <w:bCs/>
              </w:rPr>
              <w:t>государственной поддержки»</w:t>
            </w:r>
          </w:p>
          <w:p w:rsidR="002C0D43" w:rsidRDefault="002C0D43" w:rsidP="002C0D4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Calibri" w:eastAsia="Calibri" w:hAnsi="Calibri" w:cs="Calibri"/>
                <w:b/>
                <w:bCs/>
              </w:rPr>
            </w:pPr>
          </w:p>
          <w:p w:rsidR="002C0D43" w:rsidRDefault="002C0D43" w:rsidP="002C0D4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Calibri" w:eastAsia="Calibri" w:hAnsi="Calibri" w:cs="Calibri"/>
                <w:b/>
                <w:bCs/>
              </w:rPr>
            </w:pPr>
          </w:p>
          <w:p w:rsidR="002C0D43" w:rsidRPr="00734A79" w:rsidRDefault="002C0D43" w:rsidP="00EC67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746" w:type="pct"/>
          </w:tcPr>
          <w:p w:rsidR="002C0D43" w:rsidRDefault="00EC679C" w:rsidP="00667D03">
            <w:r>
              <w:t>Финансовая поддержка  инвестиционной деятельности</w:t>
            </w:r>
          </w:p>
        </w:tc>
        <w:tc>
          <w:tcPr>
            <w:tcW w:w="1446" w:type="pct"/>
          </w:tcPr>
          <w:p w:rsidR="00EC679C" w:rsidRDefault="00EC679C" w:rsidP="00EC679C">
            <w:pPr>
              <w:jc w:val="both"/>
              <w:rPr>
                <w:rFonts w:cstheme="minorHAnsi"/>
              </w:rPr>
            </w:pPr>
            <w:r w:rsidRPr="00EC679C">
              <w:rPr>
                <w:rFonts w:cstheme="minorHAnsi"/>
              </w:rPr>
              <w:t xml:space="preserve">Оказывается государственная поддержка предприятий нефтегазового сектора Тюменской области, аналогов которых нет в Российской Федерации. </w:t>
            </w:r>
            <w:proofErr w:type="gramStart"/>
            <w:r w:rsidRPr="00EC679C">
              <w:rPr>
                <w:rFonts w:cstheme="minorHAnsi"/>
              </w:rPr>
              <w:t>Правительство Тюменской области возмещает в размере 5 (пяти) процентов стоимость заказанного и оплаченного оборудования и других материальных ресурсов организациям всех форм собственности, ведущим добычу нефти и газового конденсата в Тюменской области, Ханты-Мансийском автономном округе – Югра, Ямало-Ненецком автономном округе и являющимся плательщиками налога на добычу полезных ископаемых, оплатившим в течение года, предшествующего текущему финансовому году, стоимость оборудования и других материальных ресурсов</w:t>
            </w:r>
            <w:proofErr w:type="gramEnd"/>
            <w:r w:rsidRPr="00EC679C">
              <w:rPr>
                <w:rFonts w:cstheme="minorHAnsi"/>
              </w:rPr>
              <w:t>, закупленных на промышленных предприятиях, зарегистрированных и имеющих производственные мощности в Тюменской области, на общую сумму не менее 1 млрд. рублей.</w:t>
            </w:r>
          </w:p>
          <w:p w:rsidR="002C0D43" w:rsidRPr="00663796" w:rsidRDefault="002C0D43" w:rsidP="00667D03">
            <w:pPr>
              <w:pStyle w:val="a4"/>
              <w:tabs>
                <w:tab w:val="left" w:pos="4288"/>
                <w:tab w:val="left" w:pos="4323"/>
              </w:tabs>
              <w:ind w:left="0" w:right="35" w:firstLine="35"/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362" w:type="pct"/>
          </w:tcPr>
          <w:p w:rsidR="002C0D43" w:rsidRDefault="002C0D43" w:rsidP="003E4AB7">
            <w:pPr>
              <w:jc w:val="center"/>
            </w:pPr>
          </w:p>
        </w:tc>
        <w:tc>
          <w:tcPr>
            <w:tcW w:w="334" w:type="pct"/>
          </w:tcPr>
          <w:p w:rsidR="002C0D43" w:rsidRDefault="002C0D43" w:rsidP="003E4AB7">
            <w:pPr>
              <w:jc w:val="center"/>
            </w:pPr>
          </w:p>
        </w:tc>
        <w:tc>
          <w:tcPr>
            <w:tcW w:w="317" w:type="pct"/>
          </w:tcPr>
          <w:p w:rsidR="002C0D43" w:rsidRDefault="002C0D43" w:rsidP="003E4AB7">
            <w:pPr>
              <w:jc w:val="center"/>
            </w:pPr>
          </w:p>
        </w:tc>
        <w:tc>
          <w:tcPr>
            <w:tcW w:w="273" w:type="pct"/>
          </w:tcPr>
          <w:p w:rsidR="002C0D43" w:rsidRDefault="002C0D43" w:rsidP="003E4AB7">
            <w:pPr>
              <w:jc w:val="center"/>
            </w:pPr>
          </w:p>
        </w:tc>
        <w:tc>
          <w:tcPr>
            <w:tcW w:w="181" w:type="pct"/>
          </w:tcPr>
          <w:p w:rsidR="002C0D43" w:rsidRDefault="002C0D43" w:rsidP="003E4AB7">
            <w:pPr>
              <w:jc w:val="center"/>
            </w:pPr>
          </w:p>
        </w:tc>
        <w:tc>
          <w:tcPr>
            <w:tcW w:w="227" w:type="pct"/>
          </w:tcPr>
          <w:p w:rsidR="002C0D43" w:rsidRDefault="002C0D43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2C0D43" w:rsidRDefault="002C0D43" w:rsidP="003E4AB7">
            <w:pPr>
              <w:jc w:val="center"/>
            </w:pPr>
          </w:p>
        </w:tc>
      </w:tr>
      <w:tr w:rsidR="00EC679C" w:rsidTr="00EC679C">
        <w:trPr>
          <w:trHeight w:val="4242"/>
        </w:trPr>
        <w:tc>
          <w:tcPr>
            <w:tcW w:w="170" w:type="pct"/>
          </w:tcPr>
          <w:p w:rsidR="00EC679C" w:rsidRDefault="00EC679C" w:rsidP="006F0675">
            <w:r>
              <w:lastRenderedPageBreak/>
              <w:t>6.</w:t>
            </w:r>
          </w:p>
        </w:tc>
        <w:tc>
          <w:tcPr>
            <w:tcW w:w="744" w:type="pct"/>
          </w:tcPr>
          <w:p w:rsidR="00EC679C" w:rsidRPr="00EC679C" w:rsidRDefault="00EC679C" w:rsidP="00EC67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746" w:type="pct"/>
          </w:tcPr>
          <w:p w:rsidR="00EC679C" w:rsidRDefault="00EC679C" w:rsidP="00667D03">
            <w:r>
              <w:t>Финансовая поддержка  инвестиционной деятельности</w:t>
            </w:r>
          </w:p>
        </w:tc>
        <w:tc>
          <w:tcPr>
            <w:tcW w:w="1446" w:type="pct"/>
          </w:tcPr>
          <w:p w:rsidR="00EC679C" w:rsidRPr="00EC679C" w:rsidRDefault="00EC679C" w:rsidP="00EC679C">
            <w:pPr>
              <w:jc w:val="both"/>
              <w:rPr>
                <w:rFonts w:cstheme="minorHAnsi"/>
              </w:rPr>
            </w:pPr>
            <w:r w:rsidRPr="00EC679C">
              <w:rPr>
                <w:rFonts w:cstheme="minorHAnsi"/>
              </w:rPr>
              <w:t xml:space="preserve">С целью создания большого количества рабочих мест и модернизации экономики в Тюменской области активно применяются следующие меры государственной поддержки:  </w:t>
            </w:r>
          </w:p>
          <w:p w:rsidR="00EC679C" w:rsidRPr="00EC679C" w:rsidRDefault="00EC679C" w:rsidP="00EC679C">
            <w:pPr>
              <w:jc w:val="both"/>
              <w:rPr>
                <w:rFonts w:cstheme="minorHAnsi"/>
              </w:rPr>
            </w:pPr>
            <w:r w:rsidRPr="00EC679C">
              <w:rPr>
                <w:rFonts w:cstheme="minorHAnsi"/>
                <w:bCs/>
              </w:rPr>
              <w:t>-Субсидирование первого взноса по лизингу оборудования (до 50% от стоимости оборудования) и % по лизинговым платежам, а также % по кредитам (2/3 ставки рефинансирования). Ежегодно такую поддержку получает несколько сотен предприятий, приобретая большое количество нового оборудования и создавая для его обслуживания новые рабочие места;</w:t>
            </w:r>
          </w:p>
          <w:p w:rsidR="00EC679C" w:rsidRPr="00EC679C" w:rsidRDefault="00EC679C" w:rsidP="00EC679C">
            <w:pPr>
              <w:jc w:val="both"/>
              <w:rPr>
                <w:rFonts w:cstheme="minorHAnsi"/>
              </w:rPr>
            </w:pPr>
            <w:r w:rsidRPr="00EC679C">
              <w:rPr>
                <w:rFonts w:cstheme="minorHAnsi"/>
              </w:rPr>
              <w:t>-Инвестиционные займы до 50 млн. рублей под 7% на 5 лет для малого и среднего бизнеса под реализацию проектов «малой индустриализации</w:t>
            </w:r>
            <w:proofErr w:type="gramStart"/>
            <w:r w:rsidRPr="00EC679C">
              <w:rPr>
                <w:rFonts w:cstheme="minorHAnsi"/>
              </w:rPr>
              <w:t>»-</w:t>
            </w:r>
            <w:proofErr w:type="gramEnd"/>
            <w:r w:rsidRPr="00EC679C">
              <w:rPr>
                <w:rFonts w:cstheme="minorHAnsi"/>
              </w:rPr>
              <w:t>создание новых производств и объектов сервиса в му</w:t>
            </w:r>
            <w:r>
              <w:rPr>
                <w:rFonts w:cstheme="minorHAnsi"/>
              </w:rPr>
              <w:t>ниципалитетах Тюменской области.</w:t>
            </w:r>
          </w:p>
          <w:p w:rsidR="00EC679C" w:rsidRPr="00C86D23" w:rsidRDefault="00EC679C" w:rsidP="00EC679C">
            <w:pPr>
              <w:jc w:val="both"/>
              <w:rPr>
                <w:rFonts w:cstheme="minorHAnsi"/>
                <w:highlight w:val="yellow"/>
              </w:rPr>
            </w:pPr>
          </w:p>
        </w:tc>
        <w:tc>
          <w:tcPr>
            <w:tcW w:w="362" w:type="pct"/>
          </w:tcPr>
          <w:p w:rsidR="00EC679C" w:rsidRDefault="00EC679C" w:rsidP="003E4AB7">
            <w:pPr>
              <w:jc w:val="center"/>
            </w:pPr>
          </w:p>
        </w:tc>
        <w:tc>
          <w:tcPr>
            <w:tcW w:w="334" w:type="pct"/>
          </w:tcPr>
          <w:p w:rsidR="00EC679C" w:rsidRDefault="00EC679C" w:rsidP="003E4AB7">
            <w:pPr>
              <w:jc w:val="center"/>
            </w:pPr>
          </w:p>
        </w:tc>
        <w:tc>
          <w:tcPr>
            <w:tcW w:w="317" w:type="pct"/>
          </w:tcPr>
          <w:p w:rsidR="00EC679C" w:rsidRDefault="00EC679C" w:rsidP="003E4AB7">
            <w:pPr>
              <w:jc w:val="center"/>
            </w:pPr>
          </w:p>
        </w:tc>
        <w:tc>
          <w:tcPr>
            <w:tcW w:w="273" w:type="pct"/>
          </w:tcPr>
          <w:p w:rsidR="00EC679C" w:rsidRDefault="00EC679C" w:rsidP="003E4AB7">
            <w:pPr>
              <w:jc w:val="center"/>
            </w:pPr>
          </w:p>
        </w:tc>
        <w:tc>
          <w:tcPr>
            <w:tcW w:w="181" w:type="pct"/>
          </w:tcPr>
          <w:p w:rsidR="00EC679C" w:rsidRDefault="00EC679C" w:rsidP="003E4AB7">
            <w:pPr>
              <w:jc w:val="center"/>
            </w:pPr>
          </w:p>
        </w:tc>
        <w:tc>
          <w:tcPr>
            <w:tcW w:w="227" w:type="pct"/>
          </w:tcPr>
          <w:p w:rsidR="00EC679C" w:rsidRDefault="00EC679C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EC679C" w:rsidRDefault="00EC679C" w:rsidP="003E4AB7">
            <w:pPr>
              <w:jc w:val="center"/>
            </w:pPr>
          </w:p>
        </w:tc>
      </w:tr>
      <w:tr w:rsidR="00C40AE5" w:rsidTr="002C0D43">
        <w:tc>
          <w:tcPr>
            <w:tcW w:w="170" w:type="pct"/>
            <w:shd w:val="clear" w:color="auto" w:fill="auto"/>
          </w:tcPr>
          <w:p w:rsidR="00C40AE5" w:rsidRPr="001A5628" w:rsidRDefault="00EC679C" w:rsidP="006F0675">
            <w:pPr>
              <w:rPr>
                <w:highlight w:val="green"/>
              </w:rPr>
            </w:pPr>
            <w:r>
              <w:t>7</w:t>
            </w:r>
            <w:r w:rsidR="00C40AE5" w:rsidRPr="001A5628">
              <w:t>.</w:t>
            </w:r>
          </w:p>
        </w:tc>
        <w:tc>
          <w:tcPr>
            <w:tcW w:w="744" w:type="pct"/>
            <w:shd w:val="clear" w:color="auto" w:fill="auto"/>
          </w:tcPr>
          <w:p w:rsidR="00C40AE5" w:rsidRPr="001A5628" w:rsidRDefault="00C40AE5" w:rsidP="003E4AB7">
            <w:pPr>
              <w:jc w:val="center"/>
              <w:rPr>
                <w:highlight w:val="green"/>
              </w:rPr>
            </w:pPr>
          </w:p>
        </w:tc>
        <w:tc>
          <w:tcPr>
            <w:tcW w:w="746" w:type="pct"/>
            <w:shd w:val="clear" w:color="auto" w:fill="auto"/>
          </w:tcPr>
          <w:p w:rsidR="00C40AE5" w:rsidRPr="00900472" w:rsidRDefault="00C40AE5">
            <w:pPr>
              <w:ind w:left="7"/>
            </w:pPr>
            <w:r w:rsidRPr="00900472">
              <w:t>Работа по привлечению инвестиций в регион:</w:t>
            </w:r>
          </w:p>
          <w:p w:rsidR="00C40AE5" w:rsidRPr="00900472" w:rsidRDefault="00C40AE5">
            <w:pPr>
              <w:ind w:left="7"/>
            </w:pPr>
            <w:r w:rsidRPr="00900472">
              <w:t xml:space="preserve">Организация визитов иностранных делегаций и делегаций международных ассоциаций в Тюменскую область, а также выезды представителей органов власти </w:t>
            </w:r>
            <w:proofErr w:type="spellStart"/>
            <w:r w:rsidRPr="00900472">
              <w:t>зарубеж</w:t>
            </w:r>
            <w:proofErr w:type="spellEnd"/>
            <w:r w:rsidRPr="00900472">
              <w:t xml:space="preserve"> с целью установления контактов с иностранными партнерами и </w:t>
            </w:r>
            <w:r w:rsidR="007C65FE" w:rsidRPr="00900472">
              <w:lastRenderedPageBreak/>
              <w:t>продвижения бренда региона</w:t>
            </w:r>
          </w:p>
        </w:tc>
        <w:tc>
          <w:tcPr>
            <w:tcW w:w="1446" w:type="pct"/>
            <w:shd w:val="clear" w:color="auto" w:fill="auto"/>
          </w:tcPr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lastRenderedPageBreak/>
              <w:t> </w:t>
            </w:r>
            <w:r w:rsidRPr="00FB421A">
              <w:rPr>
                <w:rFonts w:ascii="Calibri" w:eastAsia="Calibri" w:hAnsi="Calibri" w:cs="Calibri"/>
                <w:b/>
                <w:bCs/>
                <w:color w:val="292929"/>
              </w:rPr>
              <w:t>1-3 июня 2015 года</w:t>
            </w:r>
            <w:r w:rsidRPr="00FB421A">
              <w:rPr>
                <w:rFonts w:ascii="Calibri" w:eastAsia="Calibri" w:hAnsi="Calibri" w:cs="Calibri"/>
                <w:color w:val="292929"/>
              </w:rPr>
              <w:t xml:space="preserve"> Тюменскую область,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г</w:t>
            </w:r>
            <w:proofErr w:type="gramStart"/>
            <w:r w:rsidRPr="00FB421A">
              <w:rPr>
                <w:rFonts w:ascii="Calibri" w:eastAsia="Calibri" w:hAnsi="Calibri" w:cs="Calibri"/>
                <w:color w:val="292929"/>
              </w:rPr>
              <w:t>.Т</w:t>
            </w:r>
            <w:proofErr w:type="gramEnd"/>
            <w:r w:rsidRPr="00FB421A">
              <w:rPr>
                <w:rFonts w:ascii="Calibri" w:eastAsia="Calibri" w:hAnsi="Calibri" w:cs="Calibri"/>
                <w:color w:val="292929"/>
              </w:rPr>
              <w:t>юмень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 посетила делегация Королевства Бельгия во главе с</w:t>
            </w:r>
            <w:r w:rsidRPr="00FB421A">
              <w:rPr>
                <w:rFonts w:ascii="Calibri" w:eastAsia="Calibri" w:hAnsi="Calibri" w:cs="Calibri"/>
              </w:rPr>
              <w:t xml:space="preserve"> </w:t>
            </w:r>
            <w:r w:rsidRPr="00FB421A">
              <w:rPr>
                <w:rFonts w:ascii="Calibri" w:eastAsia="Calibri" w:hAnsi="Calibri" w:cs="Calibri"/>
                <w:color w:val="292929"/>
              </w:rPr>
              <w:t xml:space="preserve">Экономическим советником Посольства Бельгии в Москве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Стефааном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Тейсом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>. Также в состав делегации вошли: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  <w:color w:val="292929"/>
              </w:rPr>
              <w:t xml:space="preserve">Роберт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Махилс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>              - атташе по таможенным вопросам Посольства Бельгии, Александра Виноградова - ассистент атташе по таможенным вопросам Посольства Бельгии, Андре</w:t>
            </w:r>
            <w:proofErr w:type="gramStart"/>
            <w:r w:rsidRPr="00FB421A">
              <w:rPr>
                <w:rFonts w:ascii="Calibri" w:eastAsia="Calibri" w:hAnsi="Calibri" w:cs="Calibri"/>
                <w:color w:val="292929"/>
              </w:rPr>
              <w:t xml:space="preserve"> Д</w:t>
            </w:r>
            <w:proofErr w:type="gramEnd"/>
            <w:r w:rsidRPr="00FB421A">
              <w:rPr>
                <w:rFonts w:ascii="Calibri" w:eastAsia="Calibri" w:hAnsi="Calibri" w:cs="Calibri"/>
                <w:color w:val="292929"/>
              </w:rPr>
              <w:t xml:space="preserve">е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Рейк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 - руководитель Торгово-экономического представительства Фламандского региона при Посольстве Бельгии, Барт Ван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ден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 Босхе - региональный менеджер по Центральной и Восточной Европе главного офиса Фламандского агентства по международному предпринимательству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Flanders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Investment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 &amp;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lastRenderedPageBreak/>
              <w:t>Trade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 в Брюсселе, Емельянов Андрей Викторович - уполномоченный по вопросам торговли и инвестиций Фламандского агентства по </w:t>
            </w:r>
            <w:proofErr w:type="gramStart"/>
            <w:r w:rsidRPr="00FB421A">
              <w:rPr>
                <w:rFonts w:ascii="Calibri" w:eastAsia="Calibri" w:hAnsi="Calibri" w:cs="Calibri"/>
                <w:color w:val="292929"/>
              </w:rPr>
              <w:t>международному</w:t>
            </w:r>
            <w:proofErr w:type="gramEnd"/>
            <w:r w:rsidRPr="00FB421A">
              <w:rPr>
                <w:rFonts w:ascii="Calibri" w:eastAsia="Calibri" w:hAnsi="Calibri" w:cs="Calibri"/>
                <w:color w:val="292929"/>
              </w:rPr>
              <w:t xml:space="preserve"> предпринимательству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Flanders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Investment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 &amp;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Trade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 в Нижнем Новгороде.</w:t>
            </w:r>
            <w:r w:rsidRPr="00FB421A">
              <w:rPr>
                <w:rFonts w:ascii="Calibri" w:eastAsia="Calibri" w:hAnsi="Calibri" w:cs="Calibri"/>
              </w:rPr>
              <w:br/>
            </w:r>
            <w:r w:rsidRPr="00FB421A">
              <w:rPr>
                <w:rFonts w:ascii="Calibri" w:eastAsia="Calibri" w:hAnsi="Calibri" w:cs="Calibri"/>
                <w:color w:val="292929"/>
              </w:rPr>
              <w:t>Цель визита:  установление и развитие экономических связей между Тюменской областью и Бельгией.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  <w:color w:val="292929"/>
              </w:rPr>
              <w:t xml:space="preserve">В составе делегации Бельгии также работали такие известные компании, как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Depicon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, 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Brighteye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,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Xenics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,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AcmisGroup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,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Barco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 xml:space="preserve">. Всего 11 компаний различных сфер деятельности – представителей бельгийского региона Фландрия. Бельгийские предприниматели прибыли с намерением найти в Тюменской области надежных партнеров. Для сведения: в </w:t>
            </w:r>
            <w:proofErr w:type="gramStart"/>
            <w:r w:rsidRPr="00FB421A">
              <w:rPr>
                <w:rFonts w:ascii="Calibri" w:eastAsia="Calibri" w:hAnsi="Calibri" w:cs="Calibri"/>
                <w:color w:val="292929"/>
              </w:rPr>
              <w:t>этом</w:t>
            </w:r>
            <w:proofErr w:type="gramEnd"/>
            <w:r w:rsidRPr="00FB421A">
              <w:rPr>
                <w:rFonts w:ascii="Calibri" w:eastAsia="Calibri" w:hAnsi="Calibri" w:cs="Calibri"/>
                <w:color w:val="292929"/>
              </w:rPr>
              <w:t xml:space="preserve"> году Бельгия  вошла в число основных внешнеторговых партнеров Тюменской области. По данным Тюменской таможни товарооборот Тюменской области с Бельгией за первый квартал 2014 года составлял всего 516 тыс. долл. США. За этот же период 2015 года он приблизился к 7 млн. долл. США (6 млн. 923,89 тыс. долл. США), при этом основная доля товарооборота приходится на экспорт: 6 млн. 850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тыс</w:t>
            </w:r>
            <w:proofErr w:type="gramStart"/>
            <w:r w:rsidRPr="00FB421A">
              <w:rPr>
                <w:rFonts w:ascii="Calibri" w:eastAsia="Calibri" w:hAnsi="Calibri" w:cs="Calibri"/>
                <w:color w:val="292929"/>
              </w:rPr>
              <w:t>.д</w:t>
            </w:r>
            <w:proofErr w:type="gramEnd"/>
            <w:r w:rsidRPr="00FB421A">
              <w:rPr>
                <w:rFonts w:ascii="Calibri" w:eastAsia="Calibri" w:hAnsi="Calibri" w:cs="Calibri"/>
                <w:color w:val="292929"/>
              </w:rPr>
              <w:t>олл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>. США, импорт – порядка 72-х тыс. долл. США.</w:t>
            </w:r>
          </w:p>
          <w:p w:rsidR="00FB421A" w:rsidRPr="00FB421A" w:rsidRDefault="00FB421A" w:rsidP="00F834DE">
            <w:pPr>
              <w:ind w:firstLine="35"/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  <w:color w:val="292929"/>
              </w:rPr>
              <w:t xml:space="preserve">Для представителей бельгийской делегации 02 июня 2015 г. был организован круглый стол с представителями Правительства Тюменской области, Администрации города Тюмени, Тюменской таможни. В работе круглого стола приняли участие руководители отраслевых союзов.  Члены бельгийской делегации были ознакомлены с инвестиционными проектами, которые осуществляются в регионе, а также с мерами </w:t>
            </w:r>
            <w:r w:rsidRPr="00FB421A">
              <w:rPr>
                <w:rFonts w:ascii="Calibri" w:eastAsia="Calibri" w:hAnsi="Calibri" w:cs="Calibri"/>
                <w:color w:val="292929"/>
              </w:rPr>
              <w:lastRenderedPageBreak/>
              <w:t xml:space="preserve">поддержки, оказываемыми правительством региона. Руководитель Тюменской таможни </w:t>
            </w:r>
            <w:proofErr w:type="gramStart"/>
            <w:r w:rsidRPr="00FB421A">
              <w:rPr>
                <w:rFonts w:ascii="Calibri" w:eastAsia="Calibri" w:hAnsi="Calibri" w:cs="Calibri"/>
                <w:color w:val="292929"/>
              </w:rPr>
              <w:t>предоставил информацию о структуре товарооборота и познакомил</w:t>
            </w:r>
            <w:proofErr w:type="gramEnd"/>
            <w:r w:rsidRPr="00FB421A">
              <w:rPr>
                <w:rFonts w:ascii="Calibri" w:eastAsia="Calibri" w:hAnsi="Calibri" w:cs="Calibri"/>
                <w:color w:val="292929"/>
              </w:rPr>
              <w:t xml:space="preserve"> с основными цифрами экспортно-импортных операций между Тюменской областью и Королевством Бельгия.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  <w:color w:val="292929"/>
              </w:rPr>
              <w:t xml:space="preserve">После круглого стола состоялась Биржа контактов «Перспективы сотрудничества Тюменской области и Бельгии», где с представителями бельгийских компаний встретились тюменские предприниматели. Со стороны Тюменской области в </w:t>
            </w:r>
            <w:proofErr w:type="gramStart"/>
            <w:r w:rsidRPr="00FB421A">
              <w:rPr>
                <w:rFonts w:ascii="Calibri" w:eastAsia="Calibri" w:hAnsi="Calibri" w:cs="Calibri"/>
                <w:color w:val="292929"/>
              </w:rPr>
              <w:t>переговорах</w:t>
            </w:r>
            <w:proofErr w:type="gramEnd"/>
            <w:r w:rsidRPr="00FB421A">
              <w:rPr>
                <w:rFonts w:ascii="Calibri" w:eastAsia="Calibri" w:hAnsi="Calibri" w:cs="Calibri"/>
                <w:color w:val="292929"/>
              </w:rPr>
              <w:t xml:space="preserve"> </w:t>
            </w:r>
            <w:r w:rsidRPr="00FB421A">
              <w:rPr>
                <w:rFonts w:ascii="Calibri" w:eastAsia="Calibri" w:hAnsi="Calibri" w:cs="Calibri"/>
                <w:color w:val="292929"/>
                <w:lang w:val="en-US"/>
              </w:rPr>
              <w:t>B</w:t>
            </w:r>
            <w:r w:rsidRPr="00FB421A">
              <w:rPr>
                <w:rFonts w:ascii="Calibri" w:eastAsia="Calibri" w:hAnsi="Calibri" w:cs="Calibri"/>
                <w:color w:val="292929"/>
              </w:rPr>
              <w:t>&amp;</w:t>
            </w:r>
            <w:r w:rsidRPr="00FB421A">
              <w:rPr>
                <w:rFonts w:ascii="Calibri" w:eastAsia="Calibri" w:hAnsi="Calibri" w:cs="Calibri"/>
                <w:color w:val="292929"/>
                <w:lang w:val="en-US"/>
              </w:rPr>
              <w:t>B</w:t>
            </w:r>
            <w:r w:rsidRPr="00FB421A">
              <w:rPr>
                <w:rFonts w:ascii="Calibri" w:eastAsia="Calibri" w:hAnsi="Calibri" w:cs="Calibri"/>
                <w:color w:val="292929"/>
              </w:rPr>
              <w:t xml:space="preserve"> приняло участие 42 компании. Особый интерес тюменские предприятия выразили к сотрудничеству с компаниями, предлагающими решения в области автоматизации производства, оборудования для обустройства вертолетных площадок, тренажеров, а также оборудование для обустройства скотобойни и мясных цехов. Представитель логистической компании Бельгии провел многочисленные переговоры с крупными компаниями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г</w:t>
            </w:r>
            <w:proofErr w:type="gramStart"/>
            <w:r w:rsidRPr="00FB421A">
              <w:rPr>
                <w:rFonts w:ascii="Calibri" w:eastAsia="Calibri" w:hAnsi="Calibri" w:cs="Calibri"/>
                <w:color w:val="292929"/>
              </w:rPr>
              <w:t>.Т</w:t>
            </w:r>
            <w:proofErr w:type="gramEnd"/>
            <w:r w:rsidRPr="00FB421A">
              <w:rPr>
                <w:rFonts w:ascii="Calibri" w:eastAsia="Calibri" w:hAnsi="Calibri" w:cs="Calibri"/>
                <w:color w:val="292929"/>
              </w:rPr>
              <w:t>юмени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>, осуществляющими экспортные поставки.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  <w:color w:val="292929"/>
              </w:rPr>
              <w:t xml:space="preserve">03 июня 2015 г. для бельгийской делегации были организованы индивидуальные переговоры, так например, была организована встреча с членами Западно-Сибирской правовой палаты, посещение Областной научной библиотеки, переговоры с руководством </w:t>
            </w:r>
            <w:proofErr w:type="spellStart"/>
            <w:r w:rsidRPr="00FB421A">
              <w:rPr>
                <w:rFonts w:ascii="Calibri" w:eastAsia="Calibri" w:hAnsi="Calibri" w:cs="Calibri"/>
                <w:color w:val="292929"/>
              </w:rPr>
              <w:t>Арсиб</w:t>
            </w:r>
            <w:proofErr w:type="spellEnd"/>
            <w:r w:rsidRPr="00FB421A">
              <w:rPr>
                <w:rFonts w:ascii="Calibri" w:eastAsia="Calibri" w:hAnsi="Calibri" w:cs="Calibri"/>
                <w:color w:val="292929"/>
              </w:rPr>
              <w:t>-холдинга, встреча с членами клуба «IT-директоров Тюменской области».</w:t>
            </w:r>
          </w:p>
          <w:p w:rsidR="00FB421A" w:rsidRPr="00FB421A" w:rsidRDefault="00FB421A" w:rsidP="00F834DE">
            <w:pPr>
              <w:ind w:firstLine="35"/>
              <w:jc w:val="both"/>
              <w:rPr>
                <w:rFonts w:ascii="Calibri" w:eastAsia="Calibri" w:hAnsi="Calibri" w:cs="Calibri"/>
              </w:rPr>
            </w:pPr>
            <w:proofErr w:type="gramStart"/>
            <w:r w:rsidRPr="00FB421A">
              <w:rPr>
                <w:rFonts w:ascii="Calibri" w:eastAsia="Calibri" w:hAnsi="Calibri" w:cs="Calibri"/>
                <w:color w:val="292929"/>
              </w:rPr>
              <w:t xml:space="preserve">Во время краткого пребывания в Тюмени делегаты ознакомились с потенциалом сотрудничества в представляемых ими секторах экономики на городском и </w:t>
            </w:r>
            <w:r w:rsidRPr="00FB421A">
              <w:rPr>
                <w:rFonts w:ascii="Calibri" w:eastAsia="Calibri" w:hAnsi="Calibri" w:cs="Calibri"/>
                <w:color w:val="292929"/>
              </w:rPr>
              <w:lastRenderedPageBreak/>
              <w:t>региональном уровнях и смогли предварительно оценить востребованность предлагаемых оборудования, продукции и услуг местными компаниями и организациями, принявшими участие в бирже контактов и других мероприятиях в рамках миссии.</w:t>
            </w:r>
            <w:proofErr w:type="gramEnd"/>
          </w:p>
          <w:p w:rsidR="00FB421A" w:rsidRPr="00FB421A" w:rsidRDefault="00FB421A" w:rsidP="00FB421A">
            <w:pPr>
              <w:ind w:firstLine="512"/>
              <w:jc w:val="both"/>
              <w:rPr>
                <w:rFonts w:ascii="Calibri" w:eastAsia="Calibri" w:hAnsi="Calibri" w:cs="Calibri"/>
              </w:rPr>
            </w:pP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  <w:b/>
                <w:bCs/>
              </w:rPr>
              <w:t>3-6 июня 2015 года</w:t>
            </w:r>
            <w:r w:rsidRPr="00FB421A">
              <w:rPr>
                <w:rFonts w:ascii="Calibri" w:eastAsia="Calibri" w:hAnsi="Calibri" w:cs="Calibri"/>
              </w:rPr>
              <w:t xml:space="preserve"> Тюменскую область, </w:t>
            </w:r>
            <w:proofErr w:type="spellStart"/>
            <w:r w:rsidRPr="00FB421A">
              <w:rPr>
                <w:rFonts w:ascii="Calibri" w:eastAsia="Calibri" w:hAnsi="Calibri" w:cs="Calibri"/>
              </w:rPr>
              <w:t>г</w:t>
            </w:r>
            <w:proofErr w:type="gramStart"/>
            <w:r w:rsidRPr="00FB421A">
              <w:rPr>
                <w:rFonts w:ascii="Calibri" w:eastAsia="Calibri" w:hAnsi="Calibri" w:cs="Calibri"/>
              </w:rPr>
              <w:t>.Т</w:t>
            </w:r>
            <w:proofErr w:type="gramEnd"/>
            <w:r w:rsidRPr="00FB421A">
              <w:rPr>
                <w:rFonts w:ascii="Calibri" w:eastAsia="Calibri" w:hAnsi="Calibri" w:cs="Calibri"/>
              </w:rPr>
              <w:t>юмень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посетила делегация Республики Корея во главе с Назначенным Послом Республики Корея в Российской Федерации Пак </w:t>
            </w:r>
            <w:proofErr w:type="spellStart"/>
            <w:r w:rsidRPr="00FB421A">
              <w:rPr>
                <w:rFonts w:ascii="Calibri" w:eastAsia="Calibri" w:hAnsi="Calibri" w:cs="Calibri"/>
              </w:rPr>
              <w:t>Ро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Бёком</w:t>
            </w:r>
            <w:proofErr w:type="spellEnd"/>
            <w:r w:rsidRPr="00FB421A">
              <w:rPr>
                <w:rFonts w:ascii="Calibri" w:eastAsia="Calibri" w:hAnsi="Calibri" w:cs="Calibri"/>
              </w:rPr>
              <w:t>. В рамках Дней Республики Корея в Тюменской области состоялся ряд официальных встреч, Биржа контактов с участием тюменских и корейских предпринимателей, концерт корейских исполнителей джазовой музыки, фотовыставка, семинар по корейскому туризму, показ корейских фильмов и ряд других мероприятий.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  <w:lang w:eastAsia="ru-RU"/>
              </w:rPr>
              <w:t xml:space="preserve">4 июня 2015 года открылась биржа контактов «Перспективы взаимовыгодного сотрудничества тюменских и корейских предприятий». Организаторами мероприятия выступили Торгово-промышленная палата Тюменской области и </w:t>
            </w:r>
            <w:hyperlink r:id="rId6" w:tgtFrame="_blank" w:history="1">
              <w:r w:rsidRPr="00FB421A">
                <w:rPr>
                  <w:rFonts w:ascii="Calibri" w:eastAsia="Calibri" w:hAnsi="Calibri" w:cs="Calibri"/>
                  <w:u w:val="single"/>
                  <w:lang w:eastAsia="ru-RU"/>
                </w:rPr>
                <w:t xml:space="preserve">Торговый отдел Посольства Южной Кореи - KOTRA </w:t>
              </w:r>
              <w:proofErr w:type="spellStart"/>
              <w:r w:rsidRPr="00FB421A">
                <w:rPr>
                  <w:rFonts w:ascii="Calibri" w:eastAsia="Calibri" w:hAnsi="Calibri" w:cs="Calibri"/>
                  <w:u w:val="single"/>
                  <w:lang w:eastAsia="ru-RU"/>
                </w:rPr>
                <w:t>Moscow</w:t>
              </w:r>
              <w:proofErr w:type="spellEnd"/>
            </w:hyperlink>
            <w:r w:rsidRPr="00FB421A">
              <w:rPr>
                <w:rFonts w:ascii="Calibri" w:eastAsia="Calibri" w:hAnsi="Calibri" w:cs="Calibri"/>
                <w:lang w:eastAsia="ru-RU"/>
              </w:rPr>
              <w:t>. Мероприятие проводилось при поддержке Правительства Тюменской области.</w:t>
            </w:r>
          </w:p>
          <w:p w:rsidR="00FB421A" w:rsidRPr="00FB421A" w:rsidRDefault="00FB421A" w:rsidP="00F834DE">
            <w:pPr>
              <w:ind w:firstLine="35"/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На бирже контактов с приветственным словом выступил Посол Республики Корея в Российской Федерации Пак </w:t>
            </w:r>
            <w:proofErr w:type="spellStart"/>
            <w:r w:rsidRPr="00FB421A">
              <w:rPr>
                <w:rFonts w:ascii="Calibri" w:eastAsia="Calibri" w:hAnsi="Calibri" w:cs="Calibri"/>
              </w:rPr>
              <w:t>Ро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Бёк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. Заместитель губернатора Тюменской области, директор департамента инвестиционной политики и государственной поддержки предпринимательства Тюменской области В.М. Шумков выступил с </w:t>
            </w:r>
            <w:r w:rsidRPr="00FB421A">
              <w:rPr>
                <w:rFonts w:ascii="Calibri" w:eastAsia="Calibri" w:hAnsi="Calibri" w:cs="Calibri"/>
              </w:rPr>
              <w:lastRenderedPageBreak/>
              <w:t>информационным докладом об инвестиционном потенциале Тюменской области.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В составе корейской делегации были представлены предприятия различных отраслей – машиностроения, нефтехимии, архитектуры и строительства, электрооборудования, промышленного и нефтяного оборудования. В перечне представителей компаний, заявленных на участие, значатся: </w:t>
            </w:r>
            <w:proofErr w:type="spellStart"/>
            <w:r w:rsidRPr="00FB421A">
              <w:rPr>
                <w:rFonts w:ascii="Calibri" w:eastAsia="Calibri" w:hAnsi="Calibri" w:cs="Calibri"/>
              </w:rPr>
              <w:t>Lotte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Engineering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FB421A">
              <w:rPr>
                <w:rFonts w:ascii="Calibri" w:eastAsia="Calibri" w:hAnsi="Calibri" w:cs="Calibri"/>
              </w:rPr>
              <w:t>Quindao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Jiushan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International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Trading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, LS </w:t>
            </w:r>
            <w:proofErr w:type="spellStart"/>
            <w:r w:rsidRPr="00FB421A">
              <w:rPr>
                <w:rFonts w:ascii="Calibri" w:eastAsia="Calibri" w:hAnsi="Calibri" w:cs="Calibri"/>
              </w:rPr>
              <w:t>Networks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FB421A">
              <w:rPr>
                <w:rFonts w:ascii="Calibri" w:eastAsia="Calibri" w:hAnsi="Calibri" w:cs="Calibri"/>
              </w:rPr>
              <w:t>Daewoo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International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FB421A">
              <w:rPr>
                <w:rFonts w:ascii="Calibri" w:eastAsia="Calibri" w:hAnsi="Calibri" w:cs="Calibri"/>
              </w:rPr>
              <w:t>Hyundai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Corporation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, LG </w:t>
            </w:r>
            <w:proofErr w:type="spellStart"/>
            <w:r w:rsidRPr="00FB421A">
              <w:rPr>
                <w:rFonts w:ascii="Calibri" w:eastAsia="Calibri" w:hAnsi="Calibri" w:cs="Calibri"/>
              </w:rPr>
              <w:t>International</w:t>
            </w:r>
            <w:proofErr w:type="spellEnd"/>
            <w:r w:rsidRPr="00FB421A">
              <w:rPr>
                <w:rFonts w:ascii="Calibri" w:eastAsia="Calibri" w:hAnsi="Calibri" w:cs="Calibri"/>
              </w:rPr>
              <w:t>. 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На переговорах с указанными компаниями участвовало 55 тюменских компаний. Большой интерес у тюменских компаний вызвала продукция, производимая </w:t>
            </w:r>
            <w:proofErr w:type="spellStart"/>
            <w:r w:rsidRPr="00FB421A">
              <w:rPr>
                <w:rFonts w:ascii="Calibri" w:eastAsia="Calibri" w:hAnsi="Calibri" w:cs="Calibri"/>
              </w:rPr>
              <w:t>Quindao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Jiushan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International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Trading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, а именно нефтяное и буровое оборудование. Состоялись многочисленные переговоры по поставкам риса и мяса, в частности для ОАО « </w:t>
            </w:r>
            <w:proofErr w:type="spellStart"/>
            <w:r w:rsidRPr="00FB421A">
              <w:rPr>
                <w:rFonts w:ascii="Calibri" w:eastAsia="Calibri" w:hAnsi="Calibri" w:cs="Calibri"/>
              </w:rPr>
              <w:t>Ялуторовский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мясокомбинат» из Южной Кореи в Тюмень, а также обсуждались возможности поставки зерна из Тюменской области в Корею. Строительные и проектные организации региона были заинтересованы в налаживании контактов с компаниями, предлагающими проектные решения в строительной отрасли, а также при проектировании мостов и стальных конструкций. Большая заинтересованность со стороны тюменских предпринимателей была в </w:t>
            </w:r>
            <w:proofErr w:type="gramStart"/>
            <w:r w:rsidRPr="00FB421A">
              <w:rPr>
                <w:rFonts w:ascii="Calibri" w:eastAsia="Calibri" w:hAnsi="Calibri" w:cs="Calibri"/>
              </w:rPr>
              <w:t>приобретении</w:t>
            </w:r>
            <w:proofErr w:type="gramEnd"/>
            <w:r w:rsidRPr="00FB421A">
              <w:rPr>
                <w:rFonts w:ascii="Calibri" w:eastAsia="Calibri" w:hAnsi="Calibri" w:cs="Calibri"/>
              </w:rPr>
              <w:t xml:space="preserve"> сельскохозяйственной техники из Южной Кореи, а также по поставкам полимеров для производства пленки. На переговорах обсуждались возможности создания совместных предприятий в различных областях.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lastRenderedPageBreak/>
              <w:t xml:space="preserve">Национальная организация туризма Кореи (московское представительство) провело 4 июня 2015 года в </w:t>
            </w:r>
            <w:proofErr w:type="gramStart"/>
            <w:r w:rsidRPr="00FB421A">
              <w:rPr>
                <w:rFonts w:ascii="Calibri" w:eastAsia="Calibri" w:hAnsi="Calibri" w:cs="Calibri"/>
              </w:rPr>
              <w:t>городе</w:t>
            </w:r>
            <w:proofErr w:type="gramEnd"/>
            <w:r w:rsidRPr="00FB421A">
              <w:rPr>
                <w:rFonts w:ascii="Calibri" w:eastAsia="Calibri" w:hAnsi="Calibri" w:cs="Calibri"/>
              </w:rPr>
              <w:t xml:space="preserve"> Тюмени презентацию туристических возможностей Южной Кореи. Презентация состоялась в </w:t>
            </w:r>
            <w:proofErr w:type="gramStart"/>
            <w:r w:rsidRPr="00FB421A">
              <w:rPr>
                <w:rFonts w:ascii="Calibri" w:eastAsia="Calibri" w:hAnsi="Calibri" w:cs="Calibri"/>
              </w:rPr>
              <w:t>рамках</w:t>
            </w:r>
            <w:proofErr w:type="gramEnd"/>
            <w:r w:rsidRPr="00FB421A">
              <w:rPr>
                <w:rFonts w:ascii="Calibri" w:eastAsia="Calibri" w:hAnsi="Calibri" w:cs="Calibri"/>
              </w:rPr>
              <w:t xml:space="preserve"> образовательного проекта «Специалист по Корее», который проводится в различных городах страны и рассчитан на представителей туроператоров и турагентств, заинтересованных в развитии новых туристических направлений. В рамках презентации рассказано об основных достопримечательностях Кореи и направлениях туризма, в том числе – медицинского и делового туризма. Перед презентацией с приветственным словом выступил: Генеральный директор московского представительства Национальной Организации Туризма Кореи, а также Чрезвычайный и Полномочный Посол Республики Корея в России. В мероприятии приняло участие более 60 представителей туриндустрии Тюменской области.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4 июня, состоялась встреча губернатора Тюменской области В.В. Якушева с Назначенным Послом Республики Корея в Российской Федерации Пак </w:t>
            </w:r>
            <w:proofErr w:type="spellStart"/>
            <w:r w:rsidRPr="00FB421A">
              <w:rPr>
                <w:rFonts w:ascii="Calibri" w:eastAsia="Calibri" w:hAnsi="Calibri" w:cs="Calibri"/>
              </w:rPr>
              <w:t>Ро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Бёком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и корейскими бизнесменами. В.В. Якушев высказал мнение о полезности для обеих сторон работы предпринимателей на бирже контактов. «Отмечу, что с Республикой Корея в последние годы у нас установились стабильные торгово-экономические связи. По данным Тюменской таможни наш товарооборот в 2014 году составил более двух миллионов долларов США. Есть все возможности для активизации взаимовыгодного торгово-экономического </w:t>
            </w:r>
            <w:r w:rsidRPr="00FB421A">
              <w:rPr>
                <w:rFonts w:ascii="Calibri" w:eastAsia="Calibri" w:hAnsi="Calibri" w:cs="Calibri"/>
              </w:rPr>
              <w:lastRenderedPageBreak/>
              <w:t>сотрудничества»,- считает губернатор.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Посол Кореи рассказал, что корейское правительство определило своей приоритетной задачей совместное развитие Евразии. «В рамках этой стратегии мы выбрали Тюмень в качестве партнера для расширения взаимодействия», - проинформировал он. Назначенный Посол Республики Корея Пак </w:t>
            </w:r>
            <w:proofErr w:type="spellStart"/>
            <w:r w:rsidRPr="00FB421A">
              <w:rPr>
                <w:rFonts w:ascii="Calibri" w:eastAsia="Calibri" w:hAnsi="Calibri" w:cs="Calibri"/>
              </w:rPr>
              <w:t>Ро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Бёк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отметил, что Тюмень – первый российский регион, который он посещает в своей новой должности. Он подчеркнул, что очень важно совместно реализовать хотя бы один проект, который в </w:t>
            </w:r>
            <w:proofErr w:type="gramStart"/>
            <w:r w:rsidRPr="00FB421A">
              <w:rPr>
                <w:rFonts w:ascii="Calibri" w:eastAsia="Calibri" w:hAnsi="Calibri" w:cs="Calibri"/>
              </w:rPr>
              <w:t>будущем</w:t>
            </w:r>
            <w:proofErr w:type="gramEnd"/>
            <w:r w:rsidRPr="00FB421A">
              <w:rPr>
                <w:rFonts w:ascii="Calibri" w:eastAsia="Calibri" w:hAnsi="Calibri" w:cs="Calibri"/>
              </w:rPr>
              <w:t xml:space="preserve"> послужит успешным примером и импульсом для дальнейшего сотрудничества.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Глава региона предложил рассмотреть несколько направлений, которые в настоящее время могут быть взаимно интересны Тюменской области и корейскому бизнесу. Прежде всего, сотрудничество в нефтехимической промышленности, в том числе производстве и переработке полипропилена. Кстати, компания «СИБУР» в  процессе строительства завода по переработке полипропилена в Тобольске закупала оборудование у корейских партнеров, в частности была приобретена самая большая колонна комплекса: высота 96 м., диаметр 10,5 м., вес 1086 тонн. Она  изготовлена в Южной Корее, затем отправлена морским путем через Панамский канал в Архангельск, где перегружена на специальную баржу. Из Архангельска по Северному морскому пути оборудование было доставлено в промышленный порт Тобольска по реке Иртыш. Есть успешные примеры сотрудничества в медицинской отрасли с участием профессоров </w:t>
            </w:r>
            <w:r w:rsidRPr="00FB421A">
              <w:rPr>
                <w:rFonts w:ascii="Calibri" w:eastAsia="Calibri" w:hAnsi="Calibri" w:cs="Calibri"/>
              </w:rPr>
              <w:lastRenderedPageBreak/>
              <w:t xml:space="preserve">южнокорейского университетского госпиталя </w:t>
            </w:r>
            <w:proofErr w:type="spellStart"/>
            <w:r w:rsidRPr="00FB421A">
              <w:rPr>
                <w:rFonts w:ascii="Calibri" w:eastAsia="Calibri" w:hAnsi="Calibri" w:cs="Calibri"/>
              </w:rPr>
              <w:t>Бундан</w:t>
            </w:r>
            <w:proofErr w:type="spellEnd"/>
            <w:r w:rsidRPr="00FB421A">
              <w:rPr>
                <w:rFonts w:ascii="Calibri" w:eastAsia="Calibri" w:hAnsi="Calibri" w:cs="Calibri"/>
              </w:rPr>
              <w:t>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proofErr w:type="gramStart"/>
            <w:r w:rsidRPr="00FB421A">
              <w:rPr>
                <w:rFonts w:ascii="Calibri" w:eastAsia="Calibri" w:hAnsi="Calibri" w:cs="Calibri"/>
              </w:rPr>
              <w:t xml:space="preserve">Среди других перспективных направлений для взаимодействия - нефтегазовое машиностроение, приборостроение и </w:t>
            </w:r>
            <w:proofErr w:type="spellStart"/>
            <w:r w:rsidRPr="00FB421A">
              <w:rPr>
                <w:rFonts w:ascii="Calibri" w:eastAsia="Calibri" w:hAnsi="Calibri" w:cs="Calibri"/>
              </w:rPr>
              <w:t>нефтесервис</w:t>
            </w:r>
            <w:proofErr w:type="spellEnd"/>
            <w:r w:rsidRPr="00FB421A">
              <w:rPr>
                <w:rFonts w:ascii="Calibri" w:eastAsia="Calibri" w:hAnsi="Calibri" w:cs="Calibri"/>
              </w:rPr>
              <w:t>, кооперация в строительной отрасли, инженерии, строительстве логистических комплексов, производстве стройматериалов, реализация проектов по глубокой деревопереработке, обмен опытом в судостроении и судоремонте, сотрудничество в легкой промышленности (производство готовой одежды, обуви), фармацевтической и медицинской отраслях, обмен научно-технической информацией и сотрудничество в сфере культуры, санаторно-курортного и делового туризма.</w:t>
            </w:r>
            <w:proofErr w:type="gramEnd"/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Господин Пак </w:t>
            </w:r>
            <w:proofErr w:type="spellStart"/>
            <w:r w:rsidRPr="00FB421A">
              <w:rPr>
                <w:rFonts w:ascii="Calibri" w:eastAsia="Calibri" w:hAnsi="Calibri" w:cs="Calibri"/>
              </w:rPr>
              <w:t>Ро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Бёк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подчеркнул, что возможности для взаимодействия очень большие. «Мы изучим разные сферы для расширения сотрудничества. Тюменская область развивает свою экономику на основе инноваций. Это важный момент. Мы можем совместно двигаться в </w:t>
            </w:r>
            <w:proofErr w:type="gramStart"/>
            <w:r w:rsidRPr="00FB421A">
              <w:rPr>
                <w:rFonts w:ascii="Calibri" w:eastAsia="Calibri" w:hAnsi="Calibri" w:cs="Calibri"/>
              </w:rPr>
              <w:t>этом</w:t>
            </w:r>
            <w:proofErr w:type="gramEnd"/>
            <w:r w:rsidRPr="00FB421A">
              <w:rPr>
                <w:rFonts w:ascii="Calibri" w:eastAsia="Calibri" w:hAnsi="Calibri" w:cs="Calibri"/>
              </w:rPr>
              <w:t xml:space="preserve"> направлении»,- высказал он свое мнение.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Также 4 июня официальная делегация Республики Корея посетила Тюменский государственный университет, в том числе ознакомилась с инновационными разработками университета. 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Глава администрации </w:t>
            </w:r>
            <w:proofErr w:type="spellStart"/>
            <w:r w:rsidRPr="00FB421A">
              <w:rPr>
                <w:rFonts w:ascii="Calibri" w:eastAsia="Calibri" w:hAnsi="Calibri" w:cs="Calibri"/>
              </w:rPr>
              <w:t>г</w:t>
            </w:r>
            <w:proofErr w:type="gramStart"/>
            <w:r w:rsidRPr="00FB421A">
              <w:rPr>
                <w:rFonts w:ascii="Calibri" w:eastAsia="Calibri" w:hAnsi="Calibri" w:cs="Calibri"/>
              </w:rPr>
              <w:t>.Т</w:t>
            </w:r>
            <w:proofErr w:type="gramEnd"/>
            <w:r w:rsidRPr="00FB421A">
              <w:rPr>
                <w:rFonts w:ascii="Calibri" w:eastAsia="Calibri" w:hAnsi="Calibri" w:cs="Calibri"/>
              </w:rPr>
              <w:t>юмени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А.В.Моор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принял официальную делегацию во главе с Послом Кореи Пак </w:t>
            </w:r>
            <w:proofErr w:type="spellStart"/>
            <w:r w:rsidRPr="00FB421A">
              <w:rPr>
                <w:rFonts w:ascii="Calibri" w:eastAsia="Calibri" w:hAnsi="Calibri" w:cs="Calibri"/>
              </w:rPr>
              <w:t>Ро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Бёком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и представил потенциал города. 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Ярким событием в программе Дней Республики Корея в Тюменской области стали открытие 4 июня 2015 года фотовыставки достопримечательностей этой страны и концерт корейской </w:t>
            </w:r>
            <w:proofErr w:type="spellStart"/>
            <w:r w:rsidRPr="00FB421A">
              <w:rPr>
                <w:rFonts w:ascii="Calibri" w:eastAsia="Calibri" w:hAnsi="Calibri" w:cs="Calibri"/>
              </w:rPr>
              <w:t>кроссовер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-джаз </w:t>
            </w:r>
            <w:r w:rsidRPr="00FB421A">
              <w:rPr>
                <w:rFonts w:ascii="Calibri" w:eastAsia="Calibri" w:hAnsi="Calibri" w:cs="Calibri"/>
              </w:rPr>
              <w:lastRenderedPageBreak/>
              <w:t xml:space="preserve">группы </w:t>
            </w:r>
            <w:proofErr w:type="spellStart"/>
            <w:r w:rsidRPr="00FB421A">
              <w:rPr>
                <w:rFonts w:ascii="Calibri" w:eastAsia="Calibri" w:hAnsi="Calibri" w:cs="Calibri"/>
              </w:rPr>
              <w:t>Stone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Jazz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в филармонии.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Перед концертом Назначенный Посол Республики Корея в Российской Федерации Пак </w:t>
            </w:r>
            <w:proofErr w:type="spellStart"/>
            <w:r w:rsidRPr="00FB421A">
              <w:rPr>
                <w:rFonts w:ascii="Calibri" w:eastAsia="Calibri" w:hAnsi="Calibri" w:cs="Calibri"/>
              </w:rPr>
              <w:t>Ро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Бёк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рассказал зрителям, что это его первый визит в Тюмень, но он чувствует себя как в кругу старых друзей. «Тюменская область хорошо известна в Корее своими природными ресурсами и развитой промышленностью. Надеюсь, этот концерт внесет свой вклад в укрепление отношений Кореи и Тюменской области»,- сказал он.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Губернатор Владимир Якушев отметил, что в </w:t>
            </w:r>
            <w:proofErr w:type="gramStart"/>
            <w:r w:rsidRPr="00FB421A">
              <w:rPr>
                <w:rFonts w:ascii="Calibri" w:eastAsia="Calibri" w:hAnsi="Calibri" w:cs="Calibri"/>
              </w:rPr>
              <w:t>этом</w:t>
            </w:r>
            <w:proofErr w:type="gramEnd"/>
            <w:r w:rsidRPr="00FB421A">
              <w:rPr>
                <w:rFonts w:ascii="Calibri" w:eastAsia="Calibri" w:hAnsi="Calibri" w:cs="Calibri"/>
              </w:rPr>
              <w:t xml:space="preserve"> году дипломатическим отношениям между странами исполняется 25 лет. «Мы много обсуждали, где можно найти точки соприкосновения. У Республики Корея нет таких огромных природных богатств, какие имеет Тюменская область. Но в свое время они приняли очень верное решение по подготовке высококвалифицированных и конкурентоспособных кадров. В стране появилась совершено другая, инновационная экономика. И мне кажется, что именно такой путь должны проделать и мы. И сейчас мы этим занимаемся», - подчеркнул губернатор.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proofErr w:type="gramStart"/>
            <w:r w:rsidRPr="00FB421A">
              <w:rPr>
                <w:rFonts w:ascii="Calibri" w:eastAsia="Calibri" w:hAnsi="Calibri" w:cs="Calibri"/>
              </w:rPr>
              <w:t xml:space="preserve">Корейский коллектив </w:t>
            </w:r>
            <w:proofErr w:type="spellStart"/>
            <w:r w:rsidRPr="00FB421A">
              <w:rPr>
                <w:rFonts w:ascii="Calibri" w:eastAsia="Calibri" w:hAnsi="Calibri" w:cs="Calibri"/>
              </w:rPr>
              <w:t>Stone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B421A">
              <w:rPr>
                <w:rFonts w:ascii="Calibri" w:eastAsia="Calibri" w:hAnsi="Calibri" w:cs="Calibri"/>
              </w:rPr>
              <w:t>Jazz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состоит из шести музыкантов, которые играют как на классических инструментах - фортепиано, гитаре, контрабасе и барабанах, так и на народных корейских - щипковом инструменте </w:t>
            </w:r>
            <w:proofErr w:type="spellStart"/>
            <w:r w:rsidRPr="00FB421A">
              <w:rPr>
                <w:rFonts w:ascii="Calibri" w:eastAsia="Calibri" w:hAnsi="Calibri" w:cs="Calibri"/>
              </w:rPr>
              <w:t>каягым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, струнном </w:t>
            </w:r>
            <w:proofErr w:type="spellStart"/>
            <w:r w:rsidRPr="00FB421A">
              <w:rPr>
                <w:rFonts w:ascii="Calibri" w:eastAsia="Calibri" w:hAnsi="Calibri" w:cs="Calibri"/>
              </w:rPr>
              <w:t>хэгым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и флейте </w:t>
            </w:r>
            <w:proofErr w:type="spellStart"/>
            <w:r w:rsidRPr="00FB421A">
              <w:rPr>
                <w:rFonts w:ascii="Calibri" w:eastAsia="Calibri" w:hAnsi="Calibri" w:cs="Calibri"/>
              </w:rPr>
              <w:t>пхири</w:t>
            </w:r>
            <w:proofErr w:type="spellEnd"/>
            <w:r w:rsidRPr="00FB421A">
              <w:rPr>
                <w:rFonts w:ascii="Calibri" w:eastAsia="Calibri" w:hAnsi="Calibri" w:cs="Calibri"/>
              </w:rPr>
              <w:t>.</w:t>
            </w:r>
            <w:proofErr w:type="gramEnd"/>
            <w:r w:rsidRPr="00FB421A">
              <w:rPr>
                <w:rFonts w:ascii="Calibri" w:eastAsia="Calibri" w:hAnsi="Calibri" w:cs="Calibri"/>
              </w:rPr>
              <w:t xml:space="preserve"> Репертуар этого ансамбля варьируется от корейских традиционных песен и мелодий до джазовых, популярных во всем мире музыкальных композиций.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Зрители тепло приветствовали гостей из Кореи, а исполнители старались донести национальный колорит в </w:t>
            </w:r>
            <w:proofErr w:type="gramStart"/>
            <w:r w:rsidRPr="00FB421A">
              <w:rPr>
                <w:rFonts w:ascii="Calibri" w:eastAsia="Calibri" w:hAnsi="Calibri" w:cs="Calibri"/>
              </w:rPr>
              <w:t>сочетании</w:t>
            </w:r>
            <w:proofErr w:type="gramEnd"/>
            <w:r w:rsidRPr="00FB421A">
              <w:rPr>
                <w:rFonts w:ascii="Calibri" w:eastAsia="Calibri" w:hAnsi="Calibri" w:cs="Calibri"/>
              </w:rPr>
              <w:t xml:space="preserve"> с </w:t>
            </w:r>
            <w:r w:rsidRPr="00FB421A">
              <w:rPr>
                <w:rFonts w:ascii="Calibri" w:eastAsia="Calibri" w:hAnsi="Calibri" w:cs="Calibri"/>
              </w:rPr>
              <w:lastRenderedPageBreak/>
              <w:t>современными музыкальными тенденциями.</w:t>
            </w:r>
          </w:p>
          <w:p w:rsidR="00FB421A" w:rsidRPr="00FB421A" w:rsidRDefault="00FB421A" w:rsidP="00F834DE">
            <w:pPr>
              <w:ind w:firstLine="35"/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5 июня представители Кореи  продолжили знакомство  с промышленным и инвестиционным потенциалом Тюменской области и посетили несколько предприятий, среди которых: </w:t>
            </w:r>
            <w:proofErr w:type="spellStart"/>
            <w:r w:rsidRPr="00FB421A">
              <w:rPr>
                <w:rFonts w:ascii="Calibri" w:eastAsia="Calibri" w:hAnsi="Calibri" w:cs="Calibri"/>
              </w:rPr>
              <w:t>Антипинский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нефтеперерабатывающий завод, металлургический завод «УГМК-Сталь», завод компании «</w:t>
            </w:r>
            <w:proofErr w:type="spellStart"/>
            <w:r w:rsidRPr="00FB421A">
              <w:rPr>
                <w:rFonts w:ascii="Calibri" w:eastAsia="Calibri" w:hAnsi="Calibri" w:cs="Calibri"/>
              </w:rPr>
              <w:t>Бентек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», производящий буровые установки, хлебобулочный комбинат компании «Фатум», Тюменский фанерный завод. </w:t>
            </w:r>
          </w:p>
          <w:p w:rsidR="00FB421A" w:rsidRPr="00FB421A" w:rsidRDefault="00FB421A" w:rsidP="00F834DE">
            <w:pPr>
              <w:ind w:firstLine="35"/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Особый интерес для Назначенного Посла Республики Корея представил Западно-Сибирский инновационный центр (Тюменский технопарк). Во время посещения состоялась встреча с директором Западно-Сибирского инновационного центра А.В. </w:t>
            </w:r>
            <w:proofErr w:type="spellStart"/>
            <w:r w:rsidRPr="00FB421A">
              <w:rPr>
                <w:rFonts w:ascii="Calibri" w:eastAsia="Calibri" w:hAnsi="Calibri" w:cs="Calibri"/>
              </w:rPr>
              <w:t>Сакевичем</w:t>
            </w:r>
            <w:proofErr w:type="spellEnd"/>
            <w:r w:rsidRPr="00FB421A">
              <w:rPr>
                <w:rFonts w:ascii="Calibri" w:eastAsia="Calibri" w:hAnsi="Calibri" w:cs="Calibri"/>
              </w:rPr>
              <w:t>, руководителями малых и средних предприятий, реализующих инновационные проекты и внедряющих технологические инновации в нефтегазовой, медицинской сферах, а также занимающихся вопросами экологии и ресурсосбережения.</w:t>
            </w:r>
          </w:p>
          <w:p w:rsidR="00FB421A" w:rsidRPr="00FB421A" w:rsidRDefault="00FB421A" w:rsidP="00F834DE">
            <w:pPr>
              <w:ind w:firstLine="35"/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>В Тюменском государственном институте культуры 5-7 июня состоялся Фестиваль корейского кино. Фильмы были определены корейской стороной с учетом интересов тюменской аудитории.</w:t>
            </w:r>
          </w:p>
          <w:p w:rsidR="00FB421A" w:rsidRPr="00FB421A" w:rsidRDefault="00FB421A" w:rsidP="00F834DE">
            <w:pPr>
              <w:ind w:firstLine="35"/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6 июня делегация представители корейского бизнеса посетили духовную столицу Сибири – город Тобольск. Интерес со стороны корейских предпринимателей вызвала не только история данного города и большое количество туристических достопримечательностей, но и работа крупного инвестиционного проекта ООО «Тобольск – </w:t>
            </w:r>
            <w:proofErr w:type="spellStart"/>
            <w:r w:rsidRPr="00FB421A">
              <w:rPr>
                <w:rFonts w:ascii="Calibri" w:eastAsia="Calibri" w:hAnsi="Calibri" w:cs="Calibri"/>
              </w:rPr>
              <w:t>Нефтехим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». Во время поездки в Тобольск представители корейских </w:t>
            </w:r>
            <w:r w:rsidRPr="00FB421A">
              <w:rPr>
                <w:rFonts w:ascii="Calibri" w:eastAsia="Calibri" w:hAnsi="Calibri" w:cs="Calibri"/>
              </w:rPr>
              <w:lastRenderedPageBreak/>
              <w:t xml:space="preserve">компаний встретились с генеральным директором ООО «Тобольск-Полимер» </w:t>
            </w:r>
            <w:proofErr w:type="spellStart"/>
            <w:r w:rsidRPr="00FB421A">
              <w:rPr>
                <w:rFonts w:ascii="Calibri" w:eastAsia="Calibri" w:hAnsi="Calibri" w:cs="Calibri"/>
              </w:rPr>
              <w:t>Г.М.Савиным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и ознакомились с деятельностью предприятия. Представители корейской делегации оценили богатую историю Тобольска, убедились в красоте природы и удобстве его расположения. Для корейцев было организовано посещение знаменитой Тобольской фабрики художественных косторезных изделий, проведена экскурсия по территории Тобольского Кремля с посещением Софийско-Успенского кафедрального собора (1686 г.), Соборной Колокольни (1797 г.), а также Тобольского тюремного замка, смотровых площадок, Музея Тобольского кремля - Архиерейский дом, туристического комплекса «</w:t>
            </w:r>
            <w:proofErr w:type="spellStart"/>
            <w:r w:rsidRPr="00FB421A">
              <w:rPr>
                <w:rFonts w:ascii="Calibri" w:eastAsia="Calibri" w:hAnsi="Calibri" w:cs="Calibri"/>
              </w:rPr>
              <w:t>Абалак</w:t>
            </w:r>
            <w:proofErr w:type="spellEnd"/>
            <w:r w:rsidRPr="00FB421A">
              <w:rPr>
                <w:rFonts w:ascii="Calibri" w:eastAsia="Calibri" w:hAnsi="Calibri" w:cs="Calibri"/>
              </w:rPr>
              <w:t>».</w:t>
            </w:r>
          </w:p>
          <w:p w:rsidR="00FB421A" w:rsidRPr="00FB421A" w:rsidRDefault="00FB421A" w:rsidP="00FB421A">
            <w:pPr>
              <w:jc w:val="both"/>
              <w:rPr>
                <w:rFonts w:ascii="Calibri" w:eastAsia="Calibri" w:hAnsi="Calibri" w:cs="Calibri"/>
                <w:color w:val="1F497D"/>
              </w:rPr>
            </w:pPr>
          </w:p>
          <w:p w:rsidR="00FB421A" w:rsidRPr="00FB421A" w:rsidRDefault="00FB421A" w:rsidP="00F834DE">
            <w:pPr>
              <w:ind w:firstLine="35"/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  <w:b/>
                <w:bCs/>
              </w:rPr>
              <w:t>23 июня 2015 года</w:t>
            </w:r>
            <w:r w:rsidRPr="00FB421A">
              <w:rPr>
                <w:rFonts w:ascii="Calibri" w:eastAsia="Calibri" w:hAnsi="Calibri" w:cs="Calibri"/>
              </w:rPr>
              <w:t xml:space="preserve"> в </w:t>
            </w:r>
            <w:proofErr w:type="spellStart"/>
            <w:r w:rsidRPr="00FB421A">
              <w:rPr>
                <w:rFonts w:ascii="Calibri" w:eastAsia="Calibri" w:hAnsi="Calibri" w:cs="Calibri"/>
              </w:rPr>
              <w:t>г</w:t>
            </w:r>
            <w:proofErr w:type="gramStart"/>
            <w:r w:rsidRPr="00FB421A">
              <w:rPr>
                <w:rFonts w:ascii="Calibri" w:eastAsia="Calibri" w:hAnsi="Calibri" w:cs="Calibri"/>
              </w:rPr>
              <w:t>.М</w:t>
            </w:r>
            <w:proofErr w:type="gramEnd"/>
            <w:r w:rsidRPr="00FB421A">
              <w:rPr>
                <w:rFonts w:ascii="Calibri" w:eastAsia="Calibri" w:hAnsi="Calibri" w:cs="Calibri"/>
              </w:rPr>
              <w:t>оскве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состоялась встреча Губернатора Тюменской области В.В. Якушева с Чрезвычайным и Полномочным Послом Федеративной Республики Германия в Российской Федерации </w:t>
            </w:r>
            <w:proofErr w:type="spellStart"/>
            <w:r w:rsidRPr="00FB421A">
              <w:rPr>
                <w:rFonts w:ascii="Calibri" w:eastAsia="Calibri" w:hAnsi="Calibri" w:cs="Calibri"/>
              </w:rPr>
              <w:t>Рюдигером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фон </w:t>
            </w:r>
            <w:proofErr w:type="spellStart"/>
            <w:r w:rsidRPr="00FB421A">
              <w:rPr>
                <w:rFonts w:ascii="Calibri" w:eastAsia="Calibri" w:hAnsi="Calibri" w:cs="Calibri"/>
              </w:rPr>
              <w:t>Фричем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, заместителем председателя правления Российско-Германской внешнеторговой палаты Робертом </w:t>
            </w:r>
            <w:proofErr w:type="spellStart"/>
            <w:r w:rsidRPr="00FB421A">
              <w:rPr>
                <w:rFonts w:ascii="Calibri" w:eastAsia="Calibri" w:hAnsi="Calibri" w:cs="Calibri"/>
              </w:rPr>
              <w:t>Брайтнером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и  немецкими бизнесменами в городской резиденции Посла.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На встрече обсуждался ряд вопросов относительно перспектив сотрудничества Тюменской области и Германии. Новые совместные проекты могут возникнуть в нефтехимии, нефтегазовом машиностроении, </w:t>
            </w:r>
            <w:proofErr w:type="spellStart"/>
            <w:r w:rsidRPr="00FB421A">
              <w:rPr>
                <w:rFonts w:ascii="Calibri" w:eastAsia="Calibri" w:hAnsi="Calibri" w:cs="Calibri"/>
              </w:rPr>
              <w:t>нефтесервисе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, деревообработке, строительстве, АПК, туризме - развитие именно этих отраслей вызывает особой интерес у обеих сторон. Губернатор Тюменской области представил </w:t>
            </w:r>
            <w:r w:rsidRPr="00FB421A">
              <w:rPr>
                <w:rFonts w:ascii="Calibri" w:eastAsia="Calibri" w:hAnsi="Calibri" w:cs="Calibri"/>
              </w:rPr>
              <w:lastRenderedPageBreak/>
              <w:t xml:space="preserve">инвестиционный потенциал региона и ответил на вопросы, заданные представителями </w:t>
            </w:r>
            <w:proofErr w:type="gramStart"/>
            <w:r w:rsidRPr="00FB421A">
              <w:rPr>
                <w:rFonts w:ascii="Calibri" w:eastAsia="Calibri" w:hAnsi="Calibri" w:cs="Calibri"/>
              </w:rPr>
              <w:t>бизнес-кругов</w:t>
            </w:r>
            <w:proofErr w:type="gramEnd"/>
            <w:r w:rsidRPr="00FB421A">
              <w:rPr>
                <w:rFonts w:ascii="Calibri" w:eastAsia="Calibri" w:hAnsi="Calibri" w:cs="Calibri"/>
              </w:rPr>
              <w:t xml:space="preserve"> Германии.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>Посол отметил, что немецкий бизнес высоко оценивает инвестиционный климат и промышленный потенциал Тюменской области, и Посольство заинтересовано в том, чтобы контакты, которые сложились у немецких бизнесменов с Тюменским регионом, становились прочнее.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>Каждому новому инвестору область готова предложить три ключевых инструмента, позволяющих обеспечить успех: это налоговые льготы, финансовую поддержку и административное сопровождение проектов, акцентировал губернатор Владимир Якушев. Отдельно глава региона остановился на возможностях, которые открывает создание  индустриальных парков. В проработке сейчас пять площадок, идет активный подбор резидентов. Вполне возможно, что среди них будут и участники встречи в Москве.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>Из всех федеральных земель Германии наиболее активно и продуктивно область сотрудничает с Нижней Саксонией. Совместное заявление о сотрудничестве было подписано в 1992 году, за это время реализован целый ряд проектов в экономике, культуре, образовании и науке.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На встрече в Москве интерес к развитию двусторонних связей выразила представитель Тюрингии (Восточная Германия) Гузель </w:t>
            </w:r>
            <w:proofErr w:type="spellStart"/>
            <w:r w:rsidRPr="00FB421A">
              <w:rPr>
                <w:rFonts w:ascii="Calibri" w:eastAsia="Calibri" w:hAnsi="Calibri" w:cs="Calibri"/>
              </w:rPr>
              <w:t>Шайхуллина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. Она предложила рассмотреть варианты сотрудничества в таких </w:t>
            </w:r>
            <w:proofErr w:type="gramStart"/>
            <w:r w:rsidRPr="00FB421A">
              <w:rPr>
                <w:rFonts w:ascii="Calibri" w:eastAsia="Calibri" w:hAnsi="Calibri" w:cs="Calibri"/>
              </w:rPr>
              <w:t>отраслях</w:t>
            </w:r>
            <w:proofErr w:type="gramEnd"/>
            <w:r w:rsidRPr="00FB421A">
              <w:rPr>
                <w:rFonts w:ascii="Calibri" w:eastAsia="Calibri" w:hAnsi="Calibri" w:cs="Calibri"/>
              </w:rPr>
              <w:t xml:space="preserve">, как робототехника, 3-dпрототипирование, лазерные технологии, станкостроение. </w:t>
            </w:r>
          </w:p>
          <w:p w:rsidR="00FB421A" w:rsidRPr="00FB421A" w:rsidRDefault="00FB421A" w:rsidP="00FB421A">
            <w:pPr>
              <w:ind w:firstLine="512"/>
              <w:jc w:val="both"/>
              <w:rPr>
                <w:rFonts w:ascii="Calibri" w:eastAsia="Calibri" w:hAnsi="Calibri" w:cs="Calibri"/>
                <w:b/>
                <w:bCs/>
              </w:rPr>
            </w:pP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  <w:b/>
                <w:bCs/>
              </w:rPr>
              <w:lastRenderedPageBreak/>
              <w:t>25-26 июня 2015 года</w:t>
            </w:r>
            <w:r w:rsidRPr="00FB421A">
              <w:rPr>
                <w:rFonts w:ascii="Calibri" w:eastAsia="Calibri" w:hAnsi="Calibri" w:cs="Calibri"/>
              </w:rPr>
              <w:t xml:space="preserve"> Тюменскую область, </w:t>
            </w:r>
            <w:proofErr w:type="spellStart"/>
            <w:r w:rsidRPr="00FB421A">
              <w:rPr>
                <w:rFonts w:ascii="Calibri" w:eastAsia="Calibri" w:hAnsi="Calibri" w:cs="Calibri"/>
              </w:rPr>
              <w:t>г</w:t>
            </w:r>
            <w:proofErr w:type="gramStart"/>
            <w:r w:rsidRPr="00FB421A">
              <w:rPr>
                <w:rFonts w:ascii="Calibri" w:eastAsia="Calibri" w:hAnsi="Calibri" w:cs="Calibri"/>
              </w:rPr>
              <w:t>.Т</w:t>
            </w:r>
            <w:proofErr w:type="gramEnd"/>
            <w:r w:rsidRPr="00FB421A">
              <w:rPr>
                <w:rFonts w:ascii="Calibri" w:eastAsia="Calibri" w:hAnsi="Calibri" w:cs="Calibri"/>
              </w:rPr>
              <w:t>юмень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, посетил Генеральный консул Германии в </w:t>
            </w:r>
            <w:proofErr w:type="spellStart"/>
            <w:r w:rsidRPr="00FB421A">
              <w:rPr>
                <w:rFonts w:ascii="Calibri" w:eastAsia="Calibri" w:hAnsi="Calibri" w:cs="Calibri"/>
              </w:rPr>
              <w:t>г.Екатеринбурге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Андреас </w:t>
            </w:r>
            <w:proofErr w:type="spellStart"/>
            <w:r w:rsidRPr="00FB421A">
              <w:rPr>
                <w:rFonts w:ascii="Calibri" w:eastAsia="Calibri" w:hAnsi="Calibri" w:cs="Calibri"/>
              </w:rPr>
              <w:t>Классен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. Визит состоялся в </w:t>
            </w:r>
            <w:proofErr w:type="gramStart"/>
            <w:r w:rsidRPr="00FB421A">
              <w:rPr>
                <w:rFonts w:ascii="Calibri" w:eastAsia="Calibri" w:hAnsi="Calibri" w:cs="Calibri"/>
              </w:rPr>
              <w:t>рамках</w:t>
            </w:r>
            <w:proofErr w:type="gramEnd"/>
            <w:r w:rsidRPr="00FB421A">
              <w:rPr>
                <w:rFonts w:ascii="Calibri" w:eastAsia="Calibri" w:hAnsi="Calibri" w:cs="Calibri"/>
              </w:rPr>
              <w:t xml:space="preserve"> проведения торжественных мероприятий по случаю ввода в эксплуатацию завода по производству </w:t>
            </w:r>
            <w:proofErr w:type="spellStart"/>
            <w:r w:rsidRPr="00FB421A">
              <w:rPr>
                <w:rFonts w:ascii="Calibri" w:eastAsia="Calibri" w:hAnsi="Calibri" w:cs="Calibri"/>
              </w:rPr>
              <w:t>меламиновой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пленки для мебели компании «</w:t>
            </w:r>
            <w:proofErr w:type="spellStart"/>
            <w:r w:rsidRPr="00FB421A">
              <w:rPr>
                <w:rFonts w:ascii="Calibri" w:eastAsia="Calibri" w:hAnsi="Calibri" w:cs="Calibri"/>
              </w:rPr>
              <w:t>Шаттдекор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» (Германия). 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Во время визита Генеральный консул встретился с основателем компании Вальтером </w:t>
            </w:r>
            <w:proofErr w:type="spellStart"/>
            <w:r w:rsidRPr="00FB421A">
              <w:rPr>
                <w:rFonts w:ascii="Calibri" w:eastAsia="Calibri" w:hAnsi="Calibri" w:cs="Calibri"/>
              </w:rPr>
              <w:t>Шаттом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, членом правления компании Харальдом </w:t>
            </w:r>
            <w:proofErr w:type="spellStart"/>
            <w:r w:rsidRPr="00FB421A">
              <w:rPr>
                <w:rFonts w:ascii="Calibri" w:eastAsia="Calibri" w:hAnsi="Calibri" w:cs="Calibri"/>
              </w:rPr>
              <w:t>Пурайнером</w:t>
            </w:r>
            <w:proofErr w:type="spellEnd"/>
            <w:r w:rsidRPr="00FB421A">
              <w:rPr>
                <w:rFonts w:ascii="Calibri" w:eastAsia="Calibri" w:hAnsi="Calibri" w:cs="Calibri"/>
              </w:rPr>
              <w:t>.</w:t>
            </w:r>
          </w:p>
          <w:p w:rsidR="00FB421A" w:rsidRPr="00FB421A" w:rsidRDefault="00FB421A" w:rsidP="00F834DE">
            <w:pPr>
              <w:jc w:val="both"/>
              <w:rPr>
                <w:rFonts w:ascii="Calibri" w:eastAsia="Calibri" w:hAnsi="Calibri" w:cs="Calibri"/>
              </w:rPr>
            </w:pPr>
            <w:r w:rsidRPr="00FB421A">
              <w:rPr>
                <w:rFonts w:ascii="Calibri" w:eastAsia="Calibri" w:hAnsi="Calibri" w:cs="Calibri"/>
              </w:rPr>
              <w:t xml:space="preserve">Во время выступления Генеральный консул Германии в Екатеринбурге Андреас </w:t>
            </w:r>
            <w:proofErr w:type="spellStart"/>
            <w:r w:rsidRPr="00FB421A">
              <w:rPr>
                <w:rFonts w:ascii="Calibri" w:eastAsia="Calibri" w:hAnsi="Calibri" w:cs="Calibri"/>
              </w:rPr>
              <w:t>Классен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отметил помощь Правительства и Губернатора Тюменской </w:t>
            </w:r>
            <w:proofErr w:type="spellStart"/>
            <w:r w:rsidRPr="00FB421A">
              <w:rPr>
                <w:rFonts w:ascii="Calibri" w:eastAsia="Calibri" w:hAnsi="Calibri" w:cs="Calibri"/>
              </w:rPr>
              <w:t>обалсти</w:t>
            </w:r>
            <w:proofErr w:type="spellEnd"/>
            <w:r w:rsidRPr="00FB421A">
              <w:rPr>
                <w:rFonts w:ascii="Calibri" w:eastAsia="Calibri" w:hAnsi="Calibri" w:cs="Calibri"/>
              </w:rPr>
              <w:t xml:space="preserve"> в развитии немецкого бизнеса на территории региона: «Представители многих компаний подтверждали эффективную работу с правительством региона и отмечали благоприятную обстановку для развития бизнеса».</w:t>
            </w:r>
          </w:p>
          <w:p w:rsidR="0026022E" w:rsidRPr="00EC679C" w:rsidRDefault="0026022E" w:rsidP="00F9743F">
            <w:pPr>
              <w:jc w:val="both"/>
            </w:pPr>
          </w:p>
        </w:tc>
        <w:tc>
          <w:tcPr>
            <w:tcW w:w="362" w:type="pct"/>
            <w:shd w:val="clear" w:color="auto" w:fill="auto"/>
          </w:tcPr>
          <w:p w:rsidR="00C40AE5" w:rsidRPr="001A5628" w:rsidRDefault="00C40AE5" w:rsidP="003E4AB7">
            <w:pPr>
              <w:jc w:val="center"/>
              <w:rPr>
                <w:highlight w:val="green"/>
              </w:rPr>
            </w:pPr>
          </w:p>
        </w:tc>
        <w:tc>
          <w:tcPr>
            <w:tcW w:w="334" w:type="pct"/>
            <w:shd w:val="clear" w:color="auto" w:fill="auto"/>
          </w:tcPr>
          <w:p w:rsidR="00C40AE5" w:rsidRPr="001A5628" w:rsidRDefault="00C40AE5" w:rsidP="003E4AB7">
            <w:pPr>
              <w:jc w:val="center"/>
              <w:rPr>
                <w:highlight w:val="green"/>
              </w:rPr>
            </w:pPr>
          </w:p>
        </w:tc>
        <w:tc>
          <w:tcPr>
            <w:tcW w:w="317" w:type="pct"/>
            <w:shd w:val="clear" w:color="auto" w:fill="auto"/>
          </w:tcPr>
          <w:p w:rsidR="00C40AE5" w:rsidRPr="001A5628" w:rsidRDefault="00C40AE5" w:rsidP="003E4AB7">
            <w:pPr>
              <w:jc w:val="center"/>
              <w:rPr>
                <w:highlight w:val="green"/>
              </w:rPr>
            </w:pPr>
          </w:p>
        </w:tc>
        <w:tc>
          <w:tcPr>
            <w:tcW w:w="273" w:type="pct"/>
            <w:shd w:val="clear" w:color="auto" w:fill="auto"/>
          </w:tcPr>
          <w:p w:rsidR="00C40AE5" w:rsidRPr="001A5628" w:rsidRDefault="00C40AE5" w:rsidP="003E4AB7">
            <w:pPr>
              <w:jc w:val="center"/>
              <w:rPr>
                <w:highlight w:val="green"/>
              </w:rPr>
            </w:pPr>
          </w:p>
        </w:tc>
        <w:tc>
          <w:tcPr>
            <w:tcW w:w="181" w:type="pct"/>
            <w:shd w:val="clear" w:color="auto" w:fill="auto"/>
          </w:tcPr>
          <w:p w:rsidR="00C40AE5" w:rsidRPr="001A5628" w:rsidRDefault="00C40AE5" w:rsidP="003E4AB7">
            <w:pPr>
              <w:jc w:val="center"/>
              <w:rPr>
                <w:highlight w:val="green"/>
              </w:rPr>
            </w:pPr>
          </w:p>
        </w:tc>
        <w:tc>
          <w:tcPr>
            <w:tcW w:w="227" w:type="pct"/>
            <w:shd w:val="clear" w:color="auto" w:fill="auto"/>
          </w:tcPr>
          <w:p w:rsidR="00C40AE5" w:rsidRPr="001A5628" w:rsidRDefault="00C40AE5" w:rsidP="003E4AB7">
            <w:pPr>
              <w:jc w:val="center"/>
              <w:rPr>
                <w:highlight w:val="green"/>
              </w:rPr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C40AE5" w:rsidRPr="001A5628" w:rsidRDefault="00C40AE5" w:rsidP="003E4AB7">
            <w:pPr>
              <w:jc w:val="center"/>
              <w:rPr>
                <w:highlight w:val="green"/>
              </w:rPr>
            </w:pPr>
          </w:p>
        </w:tc>
      </w:tr>
      <w:tr w:rsidR="00C40AE5" w:rsidTr="002C0D43">
        <w:tc>
          <w:tcPr>
            <w:tcW w:w="170" w:type="pct"/>
            <w:shd w:val="clear" w:color="auto" w:fill="auto"/>
          </w:tcPr>
          <w:p w:rsidR="00C40AE5" w:rsidRDefault="00EC679C" w:rsidP="006F0675">
            <w:r>
              <w:lastRenderedPageBreak/>
              <w:t>8</w:t>
            </w:r>
            <w:r w:rsidR="00C40AE5">
              <w:t>.</w:t>
            </w:r>
          </w:p>
        </w:tc>
        <w:tc>
          <w:tcPr>
            <w:tcW w:w="744" w:type="pct"/>
            <w:shd w:val="clear" w:color="auto" w:fill="auto"/>
          </w:tcPr>
          <w:p w:rsidR="00C40AE5" w:rsidRPr="006F0675" w:rsidRDefault="00C40AE5" w:rsidP="003E4AB7">
            <w:pPr>
              <w:jc w:val="center"/>
            </w:pPr>
          </w:p>
        </w:tc>
        <w:tc>
          <w:tcPr>
            <w:tcW w:w="746" w:type="pct"/>
            <w:shd w:val="clear" w:color="auto" w:fill="auto"/>
          </w:tcPr>
          <w:p w:rsidR="00C40AE5" w:rsidRPr="00CB38F5" w:rsidRDefault="00C40AE5">
            <w:pPr>
              <w:ind w:left="7"/>
            </w:pPr>
            <w:r w:rsidRPr="00CB38F5">
              <w:t>Работа по привлечению инвестиций в регион:</w:t>
            </w:r>
          </w:p>
          <w:p w:rsidR="00C40AE5" w:rsidRDefault="00C40AE5">
            <w:r w:rsidRPr="00CB38F5">
              <w:t xml:space="preserve">Участие в </w:t>
            </w:r>
            <w:proofErr w:type="gramStart"/>
            <w:r w:rsidRPr="00CB38F5">
              <w:t>выставках</w:t>
            </w:r>
            <w:proofErr w:type="gramEnd"/>
            <w:r w:rsidRPr="00CB38F5">
              <w:t>, форумах</w:t>
            </w:r>
          </w:p>
          <w:p w:rsidR="00F9743F" w:rsidRPr="00CB38F5" w:rsidRDefault="00F9743F"/>
        </w:tc>
        <w:tc>
          <w:tcPr>
            <w:tcW w:w="1446" w:type="pct"/>
            <w:shd w:val="clear" w:color="auto" w:fill="auto"/>
          </w:tcPr>
          <w:p w:rsidR="00F834DE" w:rsidRPr="00F834DE" w:rsidRDefault="00F834DE" w:rsidP="00F834DE">
            <w:pPr>
              <w:jc w:val="both"/>
              <w:rPr>
                <w:rFonts w:ascii="Calibri" w:eastAsia="Calibri" w:hAnsi="Calibri" w:cs="Calibri"/>
              </w:rPr>
            </w:pPr>
            <w:r w:rsidRPr="00F834DE">
              <w:rPr>
                <w:rFonts w:ascii="Calibri" w:eastAsia="Calibri" w:hAnsi="Calibri" w:cs="Calibri"/>
              </w:rPr>
              <w:t>Ведется активная работа по организации торгово-экономических миссий предприятий Тюменской области в зарубежные страны.</w:t>
            </w:r>
          </w:p>
          <w:p w:rsidR="00F834DE" w:rsidRPr="00F834DE" w:rsidRDefault="00F834DE" w:rsidP="00F834DE">
            <w:pPr>
              <w:jc w:val="both"/>
              <w:rPr>
                <w:rFonts w:ascii="Calibri" w:eastAsia="Calibri" w:hAnsi="Calibri" w:cs="Calibri"/>
              </w:rPr>
            </w:pPr>
            <w:r w:rsidRPr="00F834DE">
              <w:rPr>
                <w:rFonts w:ascii="Calibri" w:eastAsia="Calibri" w:hAnsi="Calibri" w:cs="Calibri"/>
                <w:b/>
                <w:bCs/>
              </w:rPr>
              <w:t>8-9 июня 2015 года</w:t>
            </w:r>
            <w:r w:rsidRPr="00F834DE">
              <w:rPr>
                <w:rFonts w:ascii="Calibri" w:eastAsia="Calibri" w:hAnsi="Calibri" w:cs="Calibri"/>
              </w:rPr>
              <w:t xml:space="preserve"> состоялся рабочий визит представителей малого и среднего бизнеса Тюменской области в г. Петропавловск (Северо-Казахстанская область Республики Казахстан). Визит был организован Центром экспорта ГБУ ТО «Областной бизнес-инкубатор» при поддержке Управления индустриально-инновационного развития Северо-Казахстанской области, Центра обслуживания инвесторов «Национальной компании «Социально-предпринимательская корпорация «</w:t>
            </w:r>
            <w:proofErr w:type="spellStart"/>
            <w:r w:rsidRPr="00F834DE">
              <w:rPr>
                <w:rFonts w:ascii="Calibri" w:eastAsia="Calibri" w:hAnsi="Calibri" w:cs="Calibri"/>
              </w:rPr>
              <w:t>Солтү</w:t>
            </w:r>
            <w:proofErr w:type="gramStart"/>
            <w:r w:rsidRPr="00F834DE">
              <w:rPr>
                <w:rFonts w:ascii="Calibri" w:eastAsia="Calibri" w:hAnsi="Calibri" w:cs="Calibri"/>
              </w:rPr>
              <w:t>ст</w:t>
            </w:r>
            <w:proofErr w:type="gramEnd"/>
            <w:r w:rsidRPr="00F834DE">
              <w:rPr>
                <w:rFonts w:ascii="Calibri" w:eastAsia="Calibri" w:hAnsi="Calibri" w:cs="Calibri"/>
              </w:rPr>
              <w:t>ік</w:t>
            </w:r>
            <w:proofErr w:type="spellEnd"/>
            <w:r w:rsidRPr="00F834DE">
              <w:rPr>
                <w:rFonts w:ascii="Calibri" w:eastAsia="Calibri" w:hAnsi="Calibri" w:cs="Calibri"/>
              </w:rPr>
              <w:t xml:space="preserve">» и регионального отделения Национальной палаты </w:t>
            </w:r>
            <w:r w:rsidRPr="00F834DE">
              <w:rPr>
                <w:rFonts w:ascii="Calibri" w:eastAsia="Calibri" w:hAnsi="Calibri" w:cs="Calibri"/>
              </w:rPr>
              <w:lastRenderedPageBreak/>
              <w:t>предпринимателей Республики Казахстан в г. Петропавловск. </w:t>
            </w:r>
          </w:p>
          <w:p w:rsidR="00F834DE" w:rsidRPr="00F834DE" w:rsidRDefault="00F834DE" w:rsidP="00F834DE">
            <w:pPr>
              <w:jc w:val="both"/>
              <w:rPr>
                <w:rFonts w:ascii="Calibri" w:eastAsia="Calibri" w:hAnsi="Calibri" w:cs="Calibri"/>
              </w:rPr>
            </w:pPr>
            <w:r w:rsidRPr="00F834DE">
              <w:rPr>
                <w:rFonts w:ascii="Calibri" w:eastAsia="Calibri" w:hAnsi="Calibri" w:cs="Calibri"/>
              </w:rPr>
              <w:t xml:space="preserve">Делегация от Тюменской области была сформирована по запросу Администраций города Ишима и Ялуторовска. В нее в </w:t>
            </w:r>
            <w:proofErr w:type="gramStart"/>
            <w:r w:rsidRPr="00F834DE">
              <w:rPr>
                <w:rFonts w:ascii="Calibri" w:eastAsia="Calibri" w:hAnsi="Calibri" w:cs="Calibri"/>
              </w:rPr>
              <w:t>итоге</w:t>
            </w:r>
            <w:proofErr w:type="gramEnd"/>
            <w:r w:rsidRPr="00F834DE">
              <w:rPr>
                <w:rFonts w:ascii="Calibri" w:eastAsia="Calibri" w:hAnsi="Calibri" w:cs="Calibri"/>
              </w:rPr>
              <w:t xml:space="preserve"> вошли 11 предприятий, в </w:t>
            </w:r>
            <w:proofErr w:type="spellStart"/>
            <w:r w:rsidRPr="00F834DE">
              <w:rPr>
                <w:rFonts w:ascii="Calibri" w:eastAsia="Calibri" w:hAnsi="Calibri" w:cs="Calibri"/>
              </w:rPr>
              <w:t>т.ч</w:t>
            </w:r>
            <w:proofErr w:type="spellEnd"/>
            <w:r w:rsidRPr="00F834DE">
              <w:rPr>
                <w:rFonts w:ascii="Calibri" w:eastAsia="Calibri" w:hAnsi="Calibri" w:cs="Calibri"/>
              </w:rPr>
              <w:t>. промышленные компании (ОАО «</w:t>
            </w:r>
            <w:proofErr w:type="spellStart"/>
            <w:r w:rsidRPr="00F834DE">
              <w:rPr>
                <w:rFonts w:ascii="Calibri" w:eastAsia="Calibri" w:hAnsi="Calibri" w:cs="Calibri"/>
              </w:rPr>
              <w:t>Ялуторовский</w:t>
            </w:r>
            <w:proofErr w:type="spellEnd"/>
            <w:r w:rsidRPr="00F834DE">
              <w:rPr>
                <w:rFonts w:ascii="Calibri" w:eastAsia="Calibri" w:hAnsi="Calibri" w:cs="Calibri"/>
              </w:rPr>
              <w:t xml:space="preserve"> автомобильный завод», ООО «Завод пищевого оборудования», ООО «Механический завод» и др.), представители сфер торговли и услуг (ООО «Торговый дом «Никольская ярмарка», ООО «Ишим 21 век», ИП Медведев Е.С. и др.). </w:t>
            </w:r>
          </w:p>
          <w:p w:rsidR="00F834DE" w:rsidRPr="00F834DE" w:rsidRDefault="00F834DE" w:rsidP="00F834DE">
            <w:pPr>
              <w:jc w:val="both"/>
              <w:rPr>
                <w:rFonts w:ascii="Calibri" w:eastAsia="Calibri" w:hAnsi="Calibri" w:cs="Calibri"/>
              </w:rPr>
            </w:pPr>
            <w:r w:rsidRPr="00F834DE">
              <w:rPr>
                <w:rFonts w:ascii="Calibri" w:eastAsia="Calibri" w:hAnsi="Calibri" w:cs="Calibri"/>
              </w:rPr>
              <w:t xml:space="preserve">Двухдневная программа визита была насыщенной. 8 июня делегацию, несмотря на рабочий формат визита, принял лично </w:t>
            </w:r>
            <w:proofErr w:type="spellStart"/>
            <w:r w:rsidRPr="00F834DE">
              <w:rPr>
                <w:rFonts w:ascii="Calibri" w:eastAsia="Calibri" w:hAnsi="Calibri" w:cs="Calibri"/>
              </w:rPr>
              <w:t>аким</w:t>
            </w:r>
            <w:proofErr w:type="spellEnd"/>
            <w:r w:rsidRPr="00F834DE">
              <w:rPr>
                <w:rFonts w:ascii="Calibri" w:eastAsia="Calibri" w:hAnsi="Calibri" w:cs="Calibri"/>
              </w:rPr>
              <w:t xml:space="preserve"> Северо-Казахстанской области Е.Х. Султанов, что свидетельствует о стратегическом характере партнерства между двумя приграничными областями. Аким заверил тюменских предпринимателей в </w:t>
            </w:r>
            <w:proofErr w:type="gramStart"/>
            <w:r w:rsidRPr="00F834DE">
              <w:rPr>
                <w:rFonts w:ascii="Calibri" w:eastAsia="Calibri" w:hAnsi="Calibri" w:cs="Calibri"/>
              </w:rPr>
              <w:t>отсутствии</w:t>
            </w:r>
            <w:proofErr w:type="gramEnd"/>
            <w:r w:rsidRPr="00F834DE">
              <w:rPr>
                <w:rFonts w:ascii="Calibri" w:eastAsia="Calibri" w:hAnsi="Calibri" w:cs="Calibri"/>
              </w:rPr>
              <w:t xml:space="preserve"> барьеров для деятельности российских компаний в Северо-Казахстанской области, привел примеры успешного двустороннего сотрудничества. </w:t>
            </w:r>
          </w:p>
          <w:p w:rsidR="00F834DE" w:rsidRPr="00F834DE" w:rsidRDefault="00F834DE" w:rsidP="00F834DE">
            <w:pPr>
              <w:jc w:val="both"/>
              <w:rPr>
                <w:rFonts w:ascii="Calibri" w:eastAsia="Calibri" w:hAnsi="Calibri" w:cs="Calibri"/>
              </w:rPr>
            </w:pPr>
            <w:r w:rsidRPr="00F834DE">
              <w:rPr>
                <w:rFonts w:ascii="Calibri" w:eastAsia="Calibri" w:hAnsi="Calibri" w:cs="Calibri"/>
              </w:rPr>
              <w:t xml:space="preserve">Далее на базе библиотеки имени </w:t>
            </w:r>
            <w:proofErr w:type="spellStart"/>
            <w:r w:rsidRPr="00F834DE">
              <w:rPr>
                <w:rFonts w:ascii="Calibri" w:eastAsia="Calibri" w:hAnsi="Calibri" w:cs="Calibri"/>
              </w:rPr>
              <w:t>Сабита</w:t>
            </w:r>
            <w:proofErr w:type="spellEnd"/>
            <w:r w:rsidRPr="00F834DE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F834DE">
              <w:rPr>
                <w:rFonts w:ascii="Calibri" w:eastAsia="Calibri" w:hAnsi="Calibri" w:cs="Calibri"/>
              </w:rPr>
              <w:t>Муканова</w:t>
            </w:r>
            <w:proofErr w:type="spellEnd"/>
            <w:r w:rsidRPr="00F834DE">
              <w:rPr>
                <w:rFonts w:ascii="Calibri" w:eastAsia="Calibri" w:hAnsi="Calibri" w:cs="Calibri"/>
              </w:rPr>
              <w:t xml:space="preserve"> в формате b2b состоялась биржа контактов с казахстанскими предпринимателями, организованная региональным отделением Национальной палаты предпринимателей в Петропавловске. Каждая тюменская компания имела возможность обсудить перспективы сотрудничества как минимум с тремя казахстанскими компаниями. Обсуждались вопросы сбыта продукции и услуг тюменских производителей, организация по ряду направлений совместных предприятий, приобретение </w:t>
            </w:r>
            <w:r w:rsidRPr="00F834DE">
              <w:rPr>
                <w:rFonts w:ascii="Calibri" w:eastAsia="Calibri" w:hAnsi="Calibri" w:cs="Calibri"/>
              </w:rPr>
              <w:lastRenderedPageBreak/>
              <w:t>тюменскими предпринимателями производственных площадок в Петропавловске.  </w:t>
            </w:r>
          </w:p>
          <w:p w:rsidR="00F834DE" w:rsidRPr="00F834DE" w:rsidRDefault="00F834DE" w:rsidP="00F834DE">
            <w:pPr>
              <w:jc w:val="both"/>
              <w:rPr>
                <w:rFonts w:ascii="Calibri" w:eastAsia="Calibri" w:hAnsi="Calibri" w:cs="Calibri"/>
              </w:rPr>
            </w:pPr>
            <w:r w:rsidRPr="00F834DE">
              <w:rPr>
                <w:rFonts w:ascii="Calibri" w:eastAsia="Calibri" w:hAnsi="Calibri" w:cs="Calibri"/>
              </w:rPr>
              <w:t>Далее тюменские предприниматели посетили Центр обслуживания предпринимателей «Даму», который выполняет функции, аналогичные тем, что в Тюменской области выполняют Фонд «Инвестиционное агентство Тюменской области» и ГБУ ТО «Областной бизнес-инкубатор». Представитель «Даму» рассказал о мерах государственной поддержки бизнеса в Республике Казахстан, в том числе финансовой и консультационной. </w:t>
            </w:r>
          </w:p>
          <w:p w:rsidR="00F834DE" w:rsidRPr="00F834DE" w:rsidRDefault="00F834DE" w:rsidP="00F834DE">
            <w:pPr>
              <w:jc w:val="both"/>
              <w:rPr>
                <w:rFonts w:ascii="Calibri" w:eastAsia="Calibri" w:hAnsi="Calibri" w:cs="Calibri"/>
              </w:rPr>
            </w:pPr>
            <w:r w:rsidRPr="00F834DE">
              <w:rPr>
                <w:rFonts w:ascii="Calibri" w:eastAsia="Calibri" w:hAnsi="Calibri" w:cs="Calibri"/>
              </w:rPr>
              <w:t xml:space="preserve">9 июня тюменская делегация посетила ряд производственных объектов в </w:t>
            </w:r>
            <w:proofErr w:type="gramStart"/>
            <w:r w:rsidRPr="00F834DE">
              <w:rPr>
                <w:rFonts w:ascii="Calibri" w:eastAsia="Calibri" w:hAnsi="Calibri" w:cs="Calibri"/>
              </w:rPr>
              <w:t>Петропавловске</w:t>
            </w:r>
            <w:proofErr w:type="gramEnd"/>
            <w:r w:rsidRPr="00F834DE">
              <w:rPr>
                <w:rFonts w:ascii="Calibri" w:eastAsia="Calibri" w:hAnsi="Calibri" w:cs="Calibri"/>
              </w:rPr>
              <w:t>. Программа посещений началась с одного из самых передовых пищевых производств Казахстана - молочного завода «Зенченко и</w:t>
            </w:r>
            <w:proofErr w:type="gramStart"/>
            <w:r w:rsidRPr="00F834DE">
              <w:rPr>
                <w:rFonts w:ascii="Calibri" w:eastAsia="Calibri" w:hAnsi="Calibri" w:cs="Calibri"/>
              </w:rPr>
              <w:t xml:space="preserve"> К</w:t>
            </w:r>
            <w:proofErr w:type="gramEnd"/>
            <w:r w:rsidRPr="00F834DE">
              <w:rPr>
                <w:rFonts w:ascii="Calibri" w:eastAsia="Calibri" w:hAnsi="Calibri" w:cs="Calibri"/>
              </w:rPr>
              <w:t>», который специализируется на производстве молочной продукции – молока, кефира, ряженки и т.д. Директор завода ознакомил тюменских предпринимателей с организацией производства, а также организовал дегустацию производимой заводом продукции. </w:t>
            </w:r>
          </w:p>
          <w:p w:rsidR="00F834DE" w:rsidRPr="00F834DE" w:rsidRDefault="00F834DE" w:rsidP="00F834DE">
            <w:pPr>
              <w:jc w:val="both"/>
              <w:rPr>
                <w:rFonts w:ascii="Calibri" w:eastAsia="Calibri" w:hAnsi="Calibri" w:cs="Calibri"/>
              </w:rPr>
            </w:pPr>
            <w:r w:rsidRPr="00F834DE">
              <w:rPr>
                <w:rFonts w:ascii="Calibri" w:eastAsia="Calibri" w:hAnsi="Calibri" w:cs="Calibri"/>
              </w:rPr>
              <w:t>Тюменская делегация посетила также завод «</w:t>
            </w:r>
            <w:proofErr w:type="spellStart"/>
            <w:r w:rsidRPr="00F834DE">
              <w:rPr>
                <w:rFonts w:ascii="Calibri" w:eastAsia="Calibri" w:hAnsi="Calibri" w:cs="Calibri"/>
              </w:rPr>
              <w:t>Казнефтегазмаш</w:t>
            </w:r>
            <w:proofErr w:type="spellEnd"/>
            <w:r w:rsidRPr="00F834DE">
              <w:rPr>
                <w:rFonts w:ascii="Calibri" w:eastAsia="Calibri" w:hAnsi="Calibri" w:cs="Calibri"/>
              </w:rPr>
              <w:t xml:space="preserve">», который производит устьевое нефтепромысловое оборудование и запорную арматуру, ответные фланцы и крепежные изделия. Заместитель генерального директора по производству Андрей Лукьянов рассказал о позициях компании на рынке Казахстана, а с представителем «Ялуторовского автомобильного завода» обсудил отраслевое сотрудничество производителей </w:t>
            </w:r>
            <w:r w:rsidRPr="00F834DE">
              <w:rPr>
                <w:rFonts w:ascii="Calibri" w:eastAsia="Calibri" w:hAnsi="Calibri" w:cs="Calibri"/>
              </w:rPr>
              <w:lastRenderedPageBreak/>
              <w:t>нефтегазового оборудования России и Казахстана. </w:t>
            </w:r>
          </w:p>
          <w:p w:rsidR="00F834DE" w:rsidRPr="00F834DE" w:rsidRDefault="00F834DE" w:rsidP="00F834DE">
            <w:pPr>
              <w:jc w:val="both"/>
              <w:rPr>
                <w:rFonts w:ascii="Calibri" w:eastAsia="Calibri" w:hAnsi="Calibri" w:cs="Calibri"/>
              </w:rPr>
            </w:pPr>
            <w:r w:rsidRPr="00F834DE">
              <w:rPr>
                <w:rFonts w:ascii="Calibri" w:eastAsia="Calibri" w:hAnsi="Calibri" w:cs="Calibri"/>
              </w:rPr>
              <w:t>Кроме этого, ООО «</w:t>
            </w:r>
            <w:proofErr w:type="spellStart"/>
            <w:r w:rsidRPr="00F834DE">
              <w:rPr>
                <w:rFonts w:ascii="Calibri" w:eastAsia="Calibri" w:hAnsi="Calibri" w:cs="Calibri"/>
              </w:rPr>
              <w:t>Дилайт</w:t>
            </w:r>
            <w:proofErr w:type="spellEnd"/>
            <w:r w:rsidRPr="00F834DE">
              <w:rPr>
                <w:rFonts w:ascii="Calibri" w:eastAsia="Calibri" w:hAnsi="Calibri" w:cs="Calibri"/>
              </w:rPr>
              <w:t>», содержащее городской парк города Ишим, имело возможность посетить старейший городской парк города Петропавловска и встретиться с директором ТОО «Мир аттракционов» Владимиром Козловым и обсудить с ним особенности развития паркового хозяйства.    </w:t>
            </w:r>
          </w:p>
          <w:p w:rsidR="00F834DE" w:rsidRPr="00F834DE" w:rsidRDefault="00F834DE" w:rsidP="00F834DE">
            <w:pPr>
              <w:jc w:val="both"/>
              <w:rPr>
                <w:rFonts w:ascii="Calibri" w:eastAsia="Calibri" w:hAnsi="Calibri" w:cs="Calibri"/>
              </w:rPr>
            </w:pPr>
            <w:r w:rsidRPr="00F834DE">
              <w:rPr>
                <w:rFonts w:ascii="Calibri" w:eastAsia="Calibri" w:hAnsi="Calibri" w:cs="Calibri"/>
              </w:rPr>
              <w:t xml:space="preserve">В сентябре 2015 года планируется ответный визит </w:t>
            </w:r>
            <w:proofErr w:type="gramStart"/>
            <w:r w:rsidRPr="00F834DE">
              <w:rPr>
                <w:rFonts w:ascii="Calibri" w:eastAsia="Calibri" w:hAnsi="Calibri" w:cs="Calibri"/>
              </w:rPr>
              <w:t>бизнес-делегации</w:t>
            </w:r>
            <w:proofErr w:type="gramEnd"/>
            <w:r w:rsidRPr="00F834DE">
              <w:rPr>
                <w:rFonts w:ascii="Calibri" w:eastAsia="Calibri" w:hAnsi="Calibri" w:cs="Calibri"/>
              </w:rPr>
              <w:t xml:space="preserve"> из Петропавловска в Тюменскую область.        </w:t>
            </w:r>
          </w:p>
          <w:p w:rsidR="00F834DE" w:rsidRPr="00F834DE" w:rsidRDefault="00F834DE" w:rsidP="00F834DE">
            <w:pPr>
              <w:jc w:val="both"/>
              <w:rPr>
                <w:rFonts w:ascii="Calibri" w:eastAsia="Calibri" w:hAnsi="Calibri" w:cs="Calibri"/>
              </w:rPr>
            </w:pPr>
            <w:r w:rsidRPr="00F834DE">
              <w:rPr>
                <w:rFonts w:ascii="Calibri" w:eastAsia="Calibri" w:hAnsi="Calibri" w:cs="Calibri"/>
              </w:rPr>
              <w:t xml:space="preserve">С </w:t>
            </w:r>
            <w:proofErr w:type="gramStart"/>
            <w:r w:rsidRPr="00F834DE">
              <w:rPr>
                <w:rFonts w:ascii="Calibri" w:eastAsia="Calibri" w:hAnsi="Calibri" w:cs="Calibri"/>
              </w:rPr>
              <w:t>видео-сюжетами</w:t>
            </w:r>
            <w:proofErr w:type="gramEnd"/>
            <w:r w:rsidRPr="00F834DE">
              <w:rPr>
                <w:rFonts w:ascii="Calibri" w:eastAsia="Calibri" w:hAnsi="Calibri" w:cs="Calibri"/>
              </w:rPr>
              <w:t xml:space="preserve"> казахстанских телеканалов о визите можно ознакомиться по следующим ссылкам: </w:t>
            </w:r>
          </w:p>
          <w:p w:rsidR="00F834DE" w:rsidRPr="00F834DE" w:rsidRDefault="00F834DE" w:rsidP="00F834DE">
            <w:pPr>
              <w:ind w:firstLine="512"/>
              <w:jc w:val="both"/>
              <w:rPr>
                <w:rFonts w:ascii="Calibri" w:eastAsia="Calibri" w:hAnsi="Calibri" w:cs="Calibri"/>
              </w:rPr>
            </w:pPr>
            <w:hyperlink r:id="rId7" w:history="1">
              <w:r w:rsidRPr="00F834DE">
                <w:rPr>
                  <w:rFonts w:ascii="Calibri" w:eastAsia="Calibri" w:hAnsi="Calibri" w:cs="Calibri"/>
                  <w:color w:val="0000FF"/>
                  <w:u w:val="single"/>
                </w:rPr>
                <w:t>http://mtrk.kz/ru/week/14302-v-sko-pribyla-delegacziya-iz-tyumenskoj-oblasti-.html</w:t>
              </w:r>
            </w:hyperlink>
          </w:p>
          <w:p w:rsidR="00F834DE" w:rsidRPr="00F834DE" w:rsidRDefault="00F834DE" w:rsidP="00F834DE">
            <w:pPr>
              <w:ind w:firstLine="512"/>
              <w:jc w:val="both"/>
              <w:rPr>
                <w:rFonts w:ascii="Calibri" w:eastAsia="Calibri" w:hAnsi="Calibri" w:cs="Calibri"/>
              </w:rPr>
            </w:pPr>
            <w:hyperlink r:id="rId8" w:history="1">
              <w:r w:rsidRPr="00F834DE">
                <w:rPr>
                  <w:rFonts w:ascii="Calibri" w:eastAsia="Calibri" w:hAnsi="Calibri" w:cs="Calibri"/>
                  <w:color w:val="0000FF"/>
                  <w:u w:val="single"/>
                </w:rPr>
                <w:t>http://mtrk.kz/ru/news-mtrk/34-news-mtrk/14301-novye-perspektivy-sotrudnichestva-obsudili-severokazaxstanskie-i-tyumenskie-predprinimateli.html</w:t>
              </w:r>
            </w:hyperlink>
          </w:p>
          <w:p w:rsidR="00F834DE" w:rsidRPr="00F834DE" w:rsidRDefault="00F834DE" w:rsidP="00F834DE">
            <w:pPr>
              <w:ind w:firstLine="512"/>
              <w:jc w:val="both"/>
              <w:rPr>
                <w:rFonts w:ascii="Calibri" w:eastAsia="Calibri" w:hAnsi="Calibri" w:cs="Calibri"/>
              </w:rPr>
            </w:pPr>
            <w:hyperlink r:id="rId9" w:history="1">
              <w:r w:rsidRPr="00F834DE">
                <w:rPr>
                  <w:rFonts w:ascii="Calibri" w:eastAsia="Calibri" w:hAnsi="Calibri" w:cs="Calibri"/>
                  <w:color w:val="0000FF"/>
                  <w:u w:val="single"/>
                </w:rPr>
                <w:t>http://petropavltv.kz/ru/view/economic/page_87214_v-ramkakh-vizita-v-petropavlovske-sostoyalas-vstrecha-p</w:t>
              </w:r>
            </w:hyperlink>
          </w:p>
          <w:p w:rsidR="00F834DE" w:rsidRPr="00F834DE" w:rsidRDefault="00F834DE" w:rsidP="00F834DE">
            <w:pPr>
              <w:ind w:firstLine="512"/>
              <w:jc w:val="both"/>
              <w:rPr>
                <w:rFonts w:ascii="Calibri" w:eastAsia="Calibri" w:hAnsi="Calibri" w:cs="Calibri"/>
              </w:rPr>
            </w:pPr>
            <w:hyperlink r:id="rId10" w:history="1">
              <w:r w:rsidRPr="00F834DE">
                <w:rPr>
                  <w:rFonts w:ascii="Calibri" w:eastAsia="Calibri" w:hAnsi="Calibri" w:cs="Calibri"/>
                  <w:color w:val="0000FF"/>
                  <w:u w:val="single"/>
                </w:rPr>
                <w:t>http://petropavltv.kz/ru/view/society/page_87215_petropavlovsk-s-rabochim-vizitom-posetili-predprinima</w:t>
              </w:r>
            </w:hyperlink>
          </w:p>
          <w:p w:rsidR="00C40AE5" w:rsidRPr="00EC679C" w:rsidRDefault="00C40AE5" w:rsidP="00F9743F">
            <w:pPr>
              <w:ind w:firstLine="35"/>
              <w:jc w:val="both"/>
            </w:pPr>
          </w:p>
        </w:tc>
        <w:tc>
          <w:tcPr>
            <w:tcW w:w="362" w:type="pct"/>
            <w:shd w:val="clear" w:color="auto" w:fill="auto"/>
          </w:tcPr>
          <w:p w:rsidR="00C40AE5" w:rsidRDefault="00C40AE5" w:rsidP="003E4AB7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C40AE5" w:rsidRDefault="00C40AE5" w:rsidP="003E4AB7">
            <w:pPr>
              <w:jc w:val="center"/>
            </w:pPr>
          </w:p>
        </w:tc>
        <w:tc>
          <w:tcPr>
            <w:tcW w:w="317" w:type="pct"/>
            <w:shd w:val="clear" w:color="auto" w:fill="auto"/>
          </w:tcPr>
          <w:p w:rsidR="00C40AE5" w:rsidRPr="0026022E" w:rsidRDefault="00C40AE5" w:rsidP="003E4AB7">
            <w:pPr>
              <w:jc w:val="center"/>
            </w:pPr>
          </w:p>
        </w:tc>
        <w:tc>
          <w:tcPr>
            <w:tcW w:w="273" w:type="pct"/>
            <w:shd w:val="clear" w:color="auto" w:fill="auto"/>
          </w:tcPr>
          <w:p w:rsidR="00C40AE5" w:rsidRPr="0026022E" w:rsidRDefault="00C40AE5" w:rsidP="003E4AB7">
            <w:pPr>
              <w:jc w:val="center"/>
            </w:pPr>
          </w:p>
        </w:tc>
        <w:tc>
          <w:tcPr>
            <w:tcW w:w="181" w:type="pct"/>
            <w:shd w:val="clear" w:color="auto" w:fill="auto"/>
          </w:tcPr>
          <w:p w:rsidR="00C40AE5" w:rsidRDefault="00C40AE5" w:rsidP="003E4AB7">
            <w:pPr>
              <w:jc w:val="center"/>
            </w:pPr>
          </w:p>
        </w:tc>
        <w:tc>
          <w:tcPr>
            <w:tcW w:w="227" w:type="pct"/>
            <w:shd w:val="clear" w:color="auto" w:fill="auto"/>
          </w:tcPr>
          <w:p w:rsidR="00C40AE5" w:rsidRDefault="00C40AE5" w:rsidP="003E4AB7">
            <w:pPr>
              <w:jc w:val="center"/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C40AE5" w:rsidRDefault="00C40AE5" w:rsidP="003E4AB7">
            <w:pPr>
              <w:jc w:val="center"/>
            </w:pPr>
          </w:p>
        </w:tc>
      </w:tr>
      <w:tr w:rsidR="00C40AE5" w:rsidTr="002C0D43">
        <w:tc>
          <w:tcPr>
            <w:tcW w:w="170" w:type="pct"/>
            <w:shd w:val="clear" w:color="auto" w:fill="auto"/>
          </w:tcPr>
          <w:p w:rsidR="00C40AE5" w:rsidRDefault="00EC679C" w:rsidP="006F0675">
            <w:r>
              <w:lastRenderedPageBreak/>
              <w:t>9</w:t>
            </w:r>
            <w:r w:rsidR="00C40AE5">
              <w:t>.</w:t>
            </w:r>
          </w:p>
        </w:tc>
        <w:tc>
          <w:tcPr>
            <w:tcW w:w="744" w:type="pct"/>
            <w:shd w:val="clear" w:color="auto" w:fill="auto"/>
          </w:tcPr>
          <w:p w:rsidR="00C40AE5" w:rsidRPr="006F0675" w:rsidRDefault="00C40AE5" w:rsidP="003E4AB7">
            <w:pPr>
              <w:jc w:val="center"/>
            </w:pPr>
          </w:p>
        </w:tc>
        <w:tc>
          <w:tcPr>
            <w:tcW w:w="746" w:type="pct"/>
            <w:shd w:val="clear" w:color="auto" w:fill="auto"/>
          </w:tcPr>
          <w:p w:rsidR="00CA4521" w:rsidRDefault="00CA4521" w:rsidP="00CA4521">
            <w:pPr>
              <w:ind w:left="7"/>
            </w:pPr>
            <w:r>
              <w:t>Работа по привлечению инвестиций в регион:</w:t>
            </w:r>
          </w:p>
          <w:p w:rsidR="00CA4521" w:rsidRPr="00B05A7C" w:rsidRDefault="00CA4521" w:rsidP="00CA4521">
            <w:pPr>
              <w:spacing w:line="240" w:lineRule="atLeast"/>
              <w:ind w:right="-57"/>
            </w:pPr>
            <w:r w:rsidRPr="00B05A7C">
              <w:t>Продвижение в СМИ</w:t>
            </w:r>
          </w:p>
          <w:p w:rsidR="00C40AE5" w:rsidRDefault="00C40AE5">
            <w:pPr>
              <w:ind w:left="7"/>
            </w:pPr>
          </w:p>
        </w:tc>
        <w:tc>
          <w:tcPr>
            <w:tcW w:w="1446" w:type="pct"/>
            <w:shd w:val="clear" w:color="auto" w:fill="auto"/>
          </w:tcPr>
          <w:p w:rsidR="00CA4521" w:rsidRPr="00CE0078" w:rsidRDefault="00CA4521" w:rsidP="00CA4521">
            <w:pPr>
              <w:jc w:val="both"/>
              <w:rPr>
                <w:rFonts w:eastAsia="Times New Roman" w:cstheme="minorHAnsi"/>
                <w:lang w:eastAsia="ru-RU"/>
              </w:rPr>
            </w:pPr>
            <w:r w:rsidRPr="00CE0078">
              <w:rPr>
                <w:rFonts w:eastAsia="Times New Roman" w:cstheme="minorHAnsi"/>
                <w:lang w:eastAsia="ru-RU"/>
              </w:rPr>
              <w:t>В Тюменской области реализуется план мероприятий по продвижению положительного имиджа региона в</w:t>
            </w:r>
            <w:r w:rsidR="00BA5504" w:rsidRPr="00CE0078">
              <w:rPr>
                <w:rFonts w:eastAsia="Times New Roman" w:cstheme="minorHAnsi"/>
                <w:lang w:eastAsia="ru-RU"/>
              </w:rPr>
              <w:t xml:space="preserve"> региональных и федеральных </w:t>
            </w:r>
            <w:r w:rsidRPr="00CE0078">
              <w:rPr>
                <w:rFonts w:eastAsia="Times New Roman" w:cstheme="minorHAnsi"/>
                <w:lang w:eastAsia="ru-RU"/>
              </w:rPr>
              <w:t xml:space="preserve">СМИ. </w:t>
            </w:r>
          </w:p>
          <w:p w:rsidR="00BA5504" w:rsidRPr="00AC14E9" w:rsidRDefault="00A851B5" w:rsidP="00A851B5">
            <w:pPr>
              <w:jc w:val="both"/>
              <w:rPr>
                <w:rFonts w:cstheme="minorHAnsi"/>
              </w:rPr>
            </w:pPr>
            <w:r w:rsidRPr="00CE0078">
              <w:rPr>
                <w:rFonts w:eastAsia="Times New Roman" w:cstheme="minorHAnsi"/>
                <w:bdr w:val="none" w:sz="0" w:space="0" w:color="auto" w:frame="1"/>
                <w:shd w:val="clear" w:color="auto" w:fill="FFFFFF"/>
                <w:lang w:eastAsia="ru-RU"/>
              </w:rPr>
              <w:t>Статьи о Тюменской области на постоянной основе выходят в газете «Московский комсомолец», «Известия», «Комсомольская правда» и ряде других.</w:t>
            </w:r>
          </w:p>
          <w:p w:rsidR="007C65FE" w:rsidRPr="00CA4521" w:rsidRDefault="007C65FE" w:rsidP="00BA5504">
            <w:pPr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362" w:type="pct"/>
            <w:shd w:val="clear" w:color="auto" w:fill="auto"/>
          </w:tcPr>
          <w:p w:rsidR="00C40AE5" w:rsidRDefault="00C40AE5" w:rsidP="003E4AB7">
            <w:pPr>
              <w:jc w:val="center"/>
            </w:pPr>
          </w:p>
        </w:tc>
        <w:tc>
          <w:tcPr>
            <w:tcW w:w="334" w:type="pct"/>
            <w:shd w:val="clear" w:color="auto" w:fill="auto"/>
          </w:tcPr>
          <w:p w:rsidR="00C40AE5" w:rsidRDefault="00C40AE5" w:rsidP="003E4AB7">
            <w:pPr>
              <w:jc w:val="center"/>
            </w:pPr>
          </w:p>
        </w:tc>
        <w:tc>
          <w:tcPr>
            <w:tcW w:w="317" w:type="pct"/>
            <w:shd w:val="clear" w:color="auto" w:fill="auto"/>
          </w:tcPr>
          <w:p w:rsidR="00C40AE5" w:rsidRDefault="00C40AE5" w:rsidP="003E4AB7">
            <w:pPr>
              <w:jc w:val="center"/>
            </w:pPr>
          </w:p>
        </w:tc>
        <w:tc>
          <w:tcPr>
            <w:tcW w:w="273" w:type="pct"/>
            <w:shd w:val="clear" w:color="auto" w:fill="auto"/>
          </w:tcPr>
          <w:p w:rsidR="00C40AE5" w:rsidRDefault="00C40AE5" w:rsidP="003E4AB7">
            <w:pPr>
              <w:jc w:val="center"/>
            </w:pPr>
          </w:p>
        </w:tc>
        <w:tc>
          <w:tcPr>
            <w:tcW w:w="181" w:type="pct"/>
            <w:shd w:val="clear" w:color="auto" w:fill="auto"/>
          </w:tcPr>
          <w:p w:rsidR="00C40AE5" w:rsidRDefault="00C40AE5" w:rsidP="003E4AB7">
            <w:pPr>
              <w:jc w:val="center"/>
            </w:pPr>
          </w:p>
        </w:tc>
        <w:tc>
          <w:tcPr>
            <w:tcW w:w="227" w:type="pct"/>
            <w:shd w:val="clear" w:color="auto" w:fill="auto"/>
          </w:tcPr>
          <w:p w:rsidR="00C40AE5" w:rsidRDefault="00C40AE5" w:rsidP="003E4AB7">
            <w:pPr>
              <w:jc w:val="center"/>
            </w:pPr>
          </w:p>
        </w:tc>
        <w:tc>
          <w:tcPr>
            <w:tcW w:w="200" w:type="pct"/>
            <w:gridSpan w:val="2"/>
            <w:shd w:val="clear" w:color="auto" w:fill="auto"/>
          </w:tcPr>
          <w:p w:rsidR="00C40AE5" w:rsidRDefault="00C40AE5" w:rsidP="003E4AB7">
            <w:pPr>
              <w:jc w:val="center"/>
            </w:pPr>
          </w:p>
        </w:tc>
      </w:tr>
      <w:tr w:rsidR="00585528" w:rsidTr="002C0D43">
        <w:tc>
          <w:tcPr>
            <w:tcW w:w="170" w:type="pct"/>
          </w:tcPr>
          <w:p w:rsidR="00BD0716" w:rsidRDefault="00EC679C" w:rsidP="006F0675">
            <w:r>
              <w:t>10</w:t>
            </w:r>
            <w:r w:rsidR="00BD0716">
              <w:t>.</w:t>
            </w:r>
          </w:p>
        </w:tc>
        <w:tc>
          <w:tcPr>
            <w:tcW w:w="744" w:type="pct"/>
          </w:tcPr>
          <w:p w:rsidR="00BD0716" w:rsidRDefault="00BD0716" w:rsidP="00BD0716">
            <w:r w:rsidRPr="00BD0716">
              <w:t xml:space="preserve">Распоряжение </w:t>
            </w:r>
            <w:r w:rsidRPr="00BD0716">
              <w:lastRenderedPageBreak/>
              <w:t>Правительства Тюменской области от 21.02.2013 №248-рп «Об утверждении регламента комплексного сопровождения инвестиционных проектов, реализуемых и (или) планируемых к реализации в Тюменской области»</w:t>
            </w:r>
          </w:p>
          <w:p w:rsidR="00EC679C" w:rsidRDefault="00EC679C" w:rsidP="00BD0716"/>
          <w:p w:rsidR="00EC679C" w:rsidRDefault="00EC679C" w:rsidP="00BD0716"/>
          <w:p w:rsidR="00EC679C" w:rsidRDefault="00EC679C" w:rsidP="00BD0716"/>
          <w:p w:rsidR="00EC679C" w:rsidRDefault="00EC679C" w:rsidP="00BD0716"/>
          <w:p w:rsidR="00EC679C" w:rsidRDefault="00EC679C" w:rsidP="00BD0716"/>
          <w:p w:rsidR="00EC679C" w:rsidRDefault="00EC679C" w:rsidP="00BD0716"/>
          <w:p w:rsidR="00EC679C" w:rsidRPr="006F0675" w:rsidRDefault="00EC679C" w:rsidP="00BD0716">
            <w:proofErr w:type="gramStart"/>
            <w:r w:rsidRPr="00EC679C">
              <w:rPr>
                <w:rFonts w:cstheme="minorHAnsi"/>
              </w:rPr>
              <w:t>Распоряжение Правительства №1647-рп от 03.09.2014 "О внесении изменений в распоряжение от 21.02.2013 № 248-рп")</w:t>
            </w:r>
            <w:r w:rsidRPr="00EC679C">
              <w:rPr>
                <w:rFonts w:eastAsia="Times New Roman" w:cstheme="minorHAnsi"/>
                <w:lang w:eastAsia="ru-RU"/>
              </w:rPr>
              <w:t>.</w:t>
            </w:r>
            <w:proofErr w:type="gramEnd"/>
          </w:p>
        </w:tc>
        <w:tc>
          <w:tcPr>
            <w:tcW w:w="746" w:type="pct"/>
          </w:tcPr>
          <w:p w:rsidR="00BD0716" w:rsidRPr="00BD0716" w:rsidRDefault="007C65FE" w:rsidP="00B05A7C">
            <w:pPr>
              <w:ind w:left="7"/>
            </w:pPr>
            <w:r>
              <w:lastRenderedPageBreak/>
              <w:t>Разработка</w:t>
            </w:r>
            <w:r w:rsidR="00BD0716" w:rsidRPr="00BD0716">
              <w:t xml:space="preserve"> и </w:t>
            </w:r>
            <w:r w:rsidR="00BD0716" w:rsidRPr="00BD0716">
              <w:lastRenderedPageBreak/>
              <w:t>принят</w:t>
            </w:r>
            <w:r>
              <w:t>ие</w:t>
            </w:r>
            <w:r w:rsidR="00BD0716" w:rsidRPr="00BD0716">
              <w:t xml:space="preserve"> Регламент</w:t>
            </w:r>
            <w:r>
              <w:t>а</w:t>
            </w:r>
            <w:r w:rsidR="00BD0716" w:rsidRPr="00BD0716">
              <w:t xml:space="preserve"> комплексного сопровождения инвестиционных проектов в Тюменской области по принципу «одного окна»</w:t>
            </w:r>
          </w:p>
        </w:tc>
        <w:tc>
          <w:tcPr>
            <w:tcW w:w="1446" w:type="pct"/>
          </w:tcPr>
          <w:p w:rsidR="00BD0716" w:rsidRPr="009A41EB" w:rsidRDefault="00BD0716" w:rsidP="00A3022F">
            <w:pPr>
              <w:spacing w:line="240" w:lineRule="atLeast"/>
              <w:ind w:right="125"/>
              <w:jc w:val="both"/>
            </w:pPr>
            <w:r w:rsidRPr="009A41EB">
              <w:lastRenderedPageBreak/>
              <w:t xml:space="preserve">Содействие в реализации инвестиционных </w:t>
            </w:r>
            <w:r w:rsidRPr="009A41EB">
              <w:lastRenderedPageBreak/>
              <w:t xml:space="preserve">проектов по принципу «одного окна», унификация процедур взаимодействия инвесторов с региональными органами власти, органами местного самоуправления Тюменской области, </w:t>
            </w:r>
            <w:proofErr w:type="spellStart"/>
            <w:r w:rsidRPr="009A41EB">
              <w:t>ресурсоснабжающими</w:t>
            </w:r>
            <w:proofErr w:type="spellEnd"/>
            <w:r w:rsidRPr="009A41EB">
              <w:t xml:space="preserve"> организациями</w:t>
            </w:r>
            <w:r>
              <w:t>.</w:t>
            </w:r>
            <w:r w:rsidRPr="009A41EB">
              <w:t xml:space="preserve"> В соответствии с регламентом Правительство в лице департамента инвестиционной политики и государственной поддержки предпринимательства Тюменской области сопровождает проекты стоимостью свыше 300 млн. рублей, также приняты аналогичные регламенты на муниципальном уровне.  </w:t>
            </w:r>
          </w:p>
          <w:p w:rsidR="00BD0716" w:rsidRPr="00663796" w:rsidRDefault="00BD0716" w:rsidP="00663796">
            <w:pPr>
              <w:spacing w:line="240" w:lineRule="atLeast"/>
              <w:ind w:left="-12" w:right="125"/>
              <w:jc w:val="both"/>
              <w:rPr>
                <w:rFonts w:cstheme="minorHAnsi"/>
              </w:rPr>
            </w:pPr>
            <w:r w:rsidRPr="009A41EB">
              <w:t>Проекты стоимостью до 300 млн. рублей сопровождаются специализированной организацией, созданной Правительством – Фондом «Инвестиционно</w:t>
            </w:r>
            <w:r>
              <w:t xml:space="preserve">е агентство </w:t>
            </w:r>
            <w:r w:rsidRPr="00663796">
              <w:rPr>
                <w:rFonts w:cstheme="minorHAnsi"/>
              </w:rPr>
              <w:t>Тюменской области».</w:t>
            </w:r>
          </w:p>
          <w:p w:rsidR="00663796" w:rsidRPr="00EC679C" w:rsidRDefault="00663796" w:rsidP="00663796">
            <w:pPr>
              <w:spacing w:line="240" w:lineRule="atLeast"/>
              <w:ind w:right="125"/>
              <w:jc w:val="both"/>
              <w:rPr>
                <w:rFonts w:eastAsia="Times New Roman" w:cstheme="minorHAnsi"/>
                <w:lang w:eastAsia="ru-RU"/>
              </w:rPr>
            </w:pPr>
            <w:r w:rsidRPr="00EC679C">
              <w:rPr>
                <w:rFonts w:cstheme="minorHAnsi"/>
              </w:rPr>
              <w:t>Внесены изменения в Регламент комплексного сопровождения инвестиционных проектов в Тюменской области по</w:t>
            </w:r>
            <w:r w:rsidR="00EC679C">
              <w:rPr>
                <w:rFonts w:cstheme="minorHAnsi"/>
              </w:rPr>
              <w:t xml:space="preserve"> принципу «одного окна».</w:t>
            </w:r>
          </w:p>
          <w:p w:rsidR="00663796" w:rsidRPr="00663796" w:rsidRDefault="00663796" w:rsidP="00663796">
            <w:pPr>
              <w:spacing w:line="240" w:lineRule="atLeast"/>
              <w:ind w:right="125"/>
              <w:jc w:val="both"/>
              <w:rPr>
                <w:rFonts w:eastAsia="Times New Roman" w:cstheme="minorHAnsi"/>
                <w:lang w:eastAsia="ru-RU"/>
              </w:rPr>
            </w:pPr>
            <w:r w:rsidRPr="00EC679C">
              <w:rPr>
                <w:rFonts w:eastAsia="Times New Roman" w:cstheme="minorHAnsi"/>
                <w:lang w:eastAsia="ru-RU"/>
              </w:rPr>
              <w:t xml:space="preserve"> В регламенте прописана система взаимодействия инвестора со всеми участниками инвестиционного процесса (с территориальными органами федеральных органов власти, с региональными органами власти, органами местного самоуправления Тюменской области, </w:t>
            </w:r>
            <w:proofErr w:type="spellStart"/>
            <w:r w:rsidRPr="00EC679C">
              <w:rPr>
                <w:rFonts w:eastAsia="Times New Roman" w:cstheme="minorHAnsi"/>
                <w:lang w:eastAsia="ru-RU"/>
              </w:rPr>
              <w:t>ресурсоснабжающими</w:t>
            </w:r>
            <w:proofErr w:type="spellEnd"/>
            <w:r w:rsidRPr="00EC679C">
              <w:rPr>
                <w:rFonts w:eastAsia="Times New Roman" w:cstheme="minorHAnsi"/>
                <w:lang w:eastAsia="ru-RU"/>
              </w:rPr>
              <w:t xml:space="preserve"> организациями). Всем даны рекомендации по оптимизации процедур и сокращению сроков рассмотрения обращений инвесторов.</w:t>
            </w:r>
          </w:p>
          <w:p w:rsidR="00663796" w:rsidRDefault="00663796" w:rsidP="00A3022F">
            <w:pPr>
              <w:spacing w:line="240" w:lineRule="atLeast"/>
              <w:ind w:left="-12" w:right="125"/>
              <w:jc w:val="both"/>
            </w:pPr>
          </w:p>
          <w:p w:rsidR="00B41198" w:rsidRPr="009A41EB" w:rsidRDefault="00B41198" w:rsidP="00A3022F">
            <w:pPr>
              <w:spacing w:line="240" w:lineRule="atLeast"/>
              <w:ind w:left="-12" w:right="125"/>
              <w:jc w:val="both"/>
            </w:pPr>
          </w:p>
        </w:tc>
        <w:tc>
          <w:tcPr>
            <w:tcW w:w="362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334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317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73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181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27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BD0716" w:rsidRDefault="00BD0716" w:rsidP="003E4AB7">
            <w:pPr>
              <w:jc w:val="center"/>
            </w:pPr>
          </w:p>
        </w:tc>
      </w:tr>
      <w:tr w:rsidR="00585528" w:rsidTr="002C0D43">
        <w:tc>
          <w:tcPr>
            <w:tcW w:w="170" w:type="pct"/>
          </w:tcPr>
          <w:p w:rsidR="00BD0716" w:rsidRDefault="00EC679C" w:rsidP="006F0675">
            <w:r>
              <w:lastRenderedPageBreak/>
              <w:t>11</w:t>
            </w:r>
            <w:r w:rsidR="00BD0716">
              <w:t>.</w:t>
            </w:r>
          </w:p>
        </w:tc>
        <w:tc>
          <w:tcPr>
            <w:tcW w:w="744" w:type="pct"/>
          </w:tcPr>
          <w:p w:rsidR="00BD0716" w:rsidRPr="00BD0716" w:rsidRDefault="00BD0716" w:rsidP="00BD0716"/>
        </w:tc>
        <w:tc>
          <w:tcPr>
            <w:tcW w:w="746" w:type="pct"/>
          </w:tcPr>
          <w:p w:rsidR="00BD0716" w:rsidRPr="00BD0716" w:rsidRDefault="007C65FE" w:rsidP="00B41198">
            <w:pPr>
              <w:ind w:left="7"/>
            </w:pPr>
            <w:r>
              <w:t>Формирование областного</w:t>
            </w:r>
            <w:r w:rsidR="00BD0716" w:rsidRPr="00BD0716">
              <w:t xml:space="preserve"> реестр</w:t>
            </w:r>
            <w:r>
              <w:t xml:space="preserve">а инвестиционных </w:t>
            </w:r>
            <w:r>
              <w:lastRenderedPageBreak/>
              <w:t>проектов</w:t>
            </w:r>
          </w:p>
        </w:tc>
        <w:tc>
          <w:tcPr>
            <w:tcW w:w="1446" w:type="pct"/>
          </w:tcPr>
          <w:p w:rsidR="00BD0716" w:rsidRPr="009A41EB" w:rsidRDefault="00BD0716" w:rsidP="00A3022F">
            <w:pPr>
              <w:spacing w:line="240" w:lineRule="atLeast"/>
              <w:ind w:left="-15" w:right="125"/>
              <w:jc w:val="both"/>
            </w:pPr>
            <w:r w:rsidRPr="009A41EB">
              <w:lastRenderedPageBreak/>
              <w:t xml:space="preserve">Все проекты разделены по отраслям экономики. За каждым проектом закреплен ответственный сотрудник от департамента </w:t>
            </w:r>
            <w:r w:rsidRPr="009A41EB">
              <w:lastRenderedPageBreak/>
              <w:t xml:space="preserve">инвестиционной политики и государственной поддержки предпринимательства Тюменской области и Фонда «Инвестиционное агентство Тюменской области».  </w:t>
            </w:r>
          </w:p>
          <w:p w:rsidR="00BD0716" w:rsidRDefault="00BD0716" w:rsidP="00A3022F">
            <w:pPr>
              <w:spacing w:line="240" w:lineRule="atLeast"/>
              <w:ind w:right="125"/>
              <w:jc w:val="both"/>
            </w:pPr>
            <w:r w:rsidRPr="009A41EB">
              <w:t>В реестре указаны основные параметры проекта с объемом инвестиций, количеством рабочих мест, указаны все проблемные вопросы с сетевыми организациями (</w:t>
            </w:r>
            <w:proofErr w:type="spellStart"/>
            <w:r w:rsidRPr="009A41EB">
              <w:t>газо</w:t>
            </w:r>
            <w:proofErr w:type="spellEnd"/>
            <w:proofErr w:type="gramStart"/>
            <w:r w:rsidRPr="009A41EB">
              <w:t xml:space="preserve"> –</w:t>
            </w:r>
            <w:r>
              <w:t>,</w:t>
            </w:r>
            <w:r w:rsidRPr="009A41EB">
              <w:t xml:space="preserve"> </w:t>
            </w:r>
            <w:proofErr w:type="gramEnd"/>
            <w:r w:rsidRPr="009A41EB">
              <w:t>тепло-</w:t>
            </w:r>
            <w:r>
              <w:t>, энерго</w:t>
            </w:r>
            <w:r w:rsidRPr="009A41EB">
              <w:t>снабжения), представлено текущее состояние проекта.</w:t>
            </w:r>
          </w:p>
          <w:p w:rsidR="00B41198" w:rsidRPr="00CF692A" w:rsidRDefault="00663796" w:rsidP="00A3022F">
            <w:pPr>
              <w:spacing w:line="240" w:lineRule="atLeast"/>
              <w:ind w:right="125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В реестре </w:t>
            </w:r>
            <w:r w:rsidRPr="00A76CE3">
              <w:rPr>
                <w:rFonts w:ascii="Calibri" w:eastAsia="Calibri" w:hAnsi="Calibri" w:cs="Times New Roman"/>
              </w:rPr>
              <w:t>38</w:t>
            </w:r>
            <w:r w:rsidR="00585528">
              <w:rPr>
                <w:rFonts w:ascii="Calibri" w:eastAsia="Calibri" w:hAnsi="Calibri" w:cs="Times New Roman"/>
              </w:rPr>
              <w:t xml:space="preserve"> реализуемых проектов, находящихся на сопровождении департ</w:t>
            </w:r>
            <w:r w:rsidR="00CA4521">
              <w:rPr>
                <w:rFonts w:ascii="Calibri" w:eastAsia="Calibri" w:hAnsi="Calibri" w:cs="Times New Roman"/>
              </w:rPr>
              <w:t>а</w:t>
            </w:r>
            <w:r w:rsidR="00585528">
              <w:rPr>
                <w:rFonts w:ascii="Calibri" w:eastAsia="Calibri" w:hAnsi="Calibri" w:cs="Times New Roman"/>
              </w:rPr>
              <w:t>мента</w:t>
            </w:r>
            <w:r w:rsidR="00B41198" w:rsidRPr="00CF692A">
              <w:rPr>
                <w:rFonts w:ascii="Calibri" w:eastAsia="Calibri" w:hAnsi="Calibri" w:cs="Times New Roman"/>
              </w:rPr>
              <w:t xml:space="preserve"> стоимо</w:t>
            </w:r>
            <w:r w:rsidR="008D5F88">
              <w:rPr>
                <w:rFonts w:ascii="Calibri" w:eastAsia="Calibri" w:hAnsi="Calibri" w:cs="Times New Roman"/>
              </w:rPr>
              <w:t>стью свыше 300</w:t>
            </w:r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8D5F88">
              <w:rPr>
                <w:rFonts w:ascii="Calibri" w:eastAsia="Calibri" w:hAnsi="Calibri" w:cs="Times New Roman"/>
              </w:rPr>
              <w:t>млн</w:t>
            </w:r>
            <w:proofErr w:type="gramStart"/>
            <w:r w:rsidR="008D5F88">
              <w:rPr>
                <w:rFonts w:ascii="Calibri" w:eastAsia="Calibri" w:hAnsi="Calibri" w:cs="Times New Roman"/>
              </w:rPr>
              <w:t>.</w:t>
            </w:r>
            <w:r w:rsidR="00D417A9">
              <w:rPr>
                <w:rFonts w:ascii="Calibri" w:eastAsia="Calibri" w:hAnsi="Calibri" w:cs="Times New Roman"/>
              </w:rPr>
              <w:t>р</w:t>
            </w:r>
            <w:proofErr w:type="gramEnd"/>
            <w:r w:rsidR="00D417A9">
              <w:rPr>
                <w:rFonts w:ascii="Calibri" w:eastAsia="Calibri" w:hAnsi="Calibri" w:cs="Times New Roman"/>
              </w:rPr>
              <w:t>ублей</w:t>
            </w:r>
            <w:proofErr w:type="spellEnd"/>
            <w:r w:rsidR="00D417A9">
              <w:rPr>
                <w:rFonts w:ascii="Calibri" w:eastAsia="Calibri" w:hAnsi="Calibri" w:cs="Times New Roman"/>
              </w:rPr>
              <w:t xml:space="preserve"> </w:t>
            </w:r>
            <w:r w:rsidR="00283039">
              <w:rPr>
                <w:rFonts w:ascii="Calibri" w:eastAsia="Calibri" w:hAnsi="Calibri" w:cs="Times New Roman"/>
              </w:rPr>
              <w:t xml:space="preserve"> </w:t>
            </w:r>
            <w:r w:rsidR="00D417A9" w:rsidRPr="00CE0078">
              <w:rPr>
                <w:rFonts w:ascii="Calibri" w:eastAsia="Calibri" w:hAnsi="Calibri" w:cs="Times New Roman"/>
              </w:rPr>
              <w:t>и 2</w:t>
            </w:r>
            <w:r w:rsidR="00283039">
              <w:rPr>
                <w:rFonts w:ascii="Calibri" w:eastAsia="Calibri" w:hAnsi="Calibri" w:cs="Times New Roman"/>
              </w:rPr>
              <w:t>61</w:t>
            </w:r>
            <w:r w:rsidR="00351A05" w:rsidRPr="00CE0078">
              <w:rPr>
                <w:rFonts w:ascii="Calibri" w:eastAsia="Calibri" w:hAnsi="Calibri" w:cs="Times New Roman"/>
              </w:rPr>
              <w:t xml:space="preserve"> </w:t>
            </w:r>
            <w:r w:rsidR="00283039">
              <w:rPr>
                <w:rFonts w:ascii="Calibri" w:eastAsia="Calibri" w:hAnsi="Calibri" w:cs="Times New Roman"/>
              </w:rPr>
              <w:t>проект</w:t>
            </w:r>
            <w:r w:rsidR="00B41198" w:rsidRPr="00CE0078">
              <w:rPr>
                <w:rFonts w:ascii="Calibri" w:eastAsia="Calibri" w:hAnsi="Calibri" w:cs="Times New Roman"/>
              </w:rPr>
              <w:t xml:space="preserve">, </w:t>
            </w:r>
            <w:r w:rsidR="00283039">
              <w:rPr>
                <w:rFonts w:ascii="Calibri" w:eastAsia="Calibri" w:hAnsi="Calibri" w:cs="Times New Roman"/>
              </w:rPr>
              <w:t>находящийся</w:t>
            </w:r>
            <w:r w:rsidR="00B70797" w:rsidRPr="00CE0078">
              <w:rPr>
                <w:rFonts w:ascii="Calibri" w:eastAsia="Calibri" w:hAnsi="Calibri" w:cs="Times New Roman"/>
              </w:rPr>
              <w:t xml:space="preserve"> на сопровождении</w:t>
            </w:r>
            <w:r w:rsidR="00B70797">
              <w:rPr>
                <w:rFonts w:ascii="Calibri" w:eastAsia="Calibri" w:hAnsi="Calibri" w:cs="Times New Roman"/>
              </w:rPr>
              <w:t xml:space="preserve"> И</w:t>
            </w:r>
            <w:r w:rsidR="00B41198" w:rsidRPr="00CF692A">
              <w:rPr>
                <w:rFonts w:ascii="Calibri" w:eastAsia="Calibri" w:hAnsi="Calibri" w:cs="Times New Roman"/>
              </w:rPr>
              <w:t xml:space="preserve">нвестиционного агентства Тюменской области стоимостью до 300 млн. рублей.  </w:t>
            </w:r>
          </w:p>
          <w:p w:rsidR="00B41198" w:rsidRPr="009A41EB" w:rsidRDefault="00B41198" w:rsidP="00A3022F">
            <w:pPr>
              <w:spacing w:line="240" w:lineRule="atLeast"/>
              <w:ind w:right="125"/>
              <w:jc w:val="both"/>
            </w:pPr>
          </w:p>
        </w:tc>
        <w:tc>
          <w:tcPr>
            <w:tcW w:w="362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334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317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73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181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27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BD0716" w:rsidRDefault="00BD0716" w:rsidP="003E4AB7">
            <w:pPr>
              <w:jc w:val="center"/>
            </w:pPr>
          </w:p>
        </w:tc>
      </w:tr>
      <w:tr w:rsidR="00585528" w:rsidTr="002C0D43">
        <w:tc>
          <w:tcPr>
            <w:tcW w:w="170" w:type="pct"/>
          </w:tcPr>
          <w:p w:rsidR="00BD0716" w:rsidRDefault="00EC679C" w:rsidP="006F0675">
            <w:r>
              <w:lastRenderedPageBreak/>
              <w:t>12</w:t>
            </w:r>
            <w:r w:rsidR="00BD0716">
              <w:t>.</w:t>
            </w:r>
          </w:p>
        </w:tc>
        <w:tc>
          <w:tcPr>
            <w:tcW w:w="744" w:type="pct"/>
          </w:tcPr>
          <w:p w:rsidR="00BD0716" w:rsidRPr="00BD0716" w:rsidRDefault="00BD0716" w:rsidP="00BD0716"/>
        </w:tc>
        <w:tc>
          <w:tcPr>
            <w:tcW w:w="746" w:type="pct"/>
          </w:tcPr>
          <w:p w:rsidR="00BD0716" w:rsidRPr="00BD0716" w:rsidRDefault="004B5CF0" w:rsidP="004B5CF0">
            <w:pPr>
              <w:ind w:left="7"/>
            </w:pPr>
            <w:r>
              <w:t>Создание</w:t>
            </w:r>
            <w:r w:rsidR="00BD0716">
              <w:t xml:space="preserve"> специализированной организации по </w:t>
            </w:r>
            <w:r>
              <w:t xml:space="preserve">привлечению инвестиций и работе </w:t>
            </w:r>
            <w:r w:rsidR="00BD0716">
              <w:t>с инвесторами</w:t>
            </w:r>
          </w:p>
        </w:tc>
        <w:tc>
          <w:tcPr>
            <w:tcW w:w="1446" w:type="pct"/>
          </w:tcPr>
          <w:p w:rsidR="00BD0716" w:rsidRDefault="00BD0716" w:rsidP="00BD0716">
            <w:pPr>
              <w:spacing w:line="240" w:lineRule="atLeast"/>
              <w:ind w:left="-15" w:right="125"/>
              <w:jc w:val="both"/>
            </w:pPr>
            <w:r w:rsidRPr="008B698D">
              <w:t xml:space="preserve">15 марта 2013 года  был создан Фонд "Инвестиционное агентство Тюменской области". Основание - Протокол № 04 от 13 февраля 2013 года заседания Правления Фонда развития и поддержки предпринимательства в Тюменской области – утвержден Устав Инвестиционного агентства Тюменской области. Агентство было создано путем реорганизации Фонда развития и поддержки предпринимательства Тюменской области. Сайт: </w:t>
            </w:r>
            <w:hyperlink r:id="rId11" w:history="1">
              <w:r w:rsidR="00B41198" w:rsidRPr="002A0100">
                <w:rPr>
                  <w:rStyle w:val="a5"/>
                </w:rPr>
                <w:t>www.iato.ru</w:t>
              </w:r>
            </w:hyperlink>
          </w:p>
          <w:p w:rsidR="00B41198" w:rsidRPr="009A41EB" w:rsidRDefault="00B41198" w:rsidP="00BD0716">
            <w:pPr>
              <w:spacing w:line="240" w:lineRule="atLeast"/>
              <w:ind w:left="-15" w:right="125"/>
              <w:jc w:val="both"/>
            </w:pPr>
          </w:p>
        </w:tc>
        <w:tc>
          <w:tcPr>
            <w:tcW w:w="362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334" w:type="pct"/>
          </w:tcPr>
          <w:p w:rsidR="00162E32" w:rsidRDefault="004B5CF0" w:rsidP="003E4AB7">
            <w:pPr>
              <w:jc w:val="center"/>
            </w:pPr>
            <w:r>
              <w:t>15.03.</w:t>
            </w:r>
          </w:p>
          <w:p w:rsidR="00BD0716" w:rsidRDefault="004B5CF0" w:rsidP="003E4AB7">
            <w:pPr>
              <w:jc w:val="center"/>
            </w:pPr>
            <w:r>
              <w:t>2013</w:t>
            </w:r>
          </w:p>
        </w:tc>
        <w:tc>
          <w:tcPr>
            <w:tcW w:w="317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73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181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27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BD0716" w:rsidRDefault="00BD0716" w:rsidP="003E4AB7">
            <w:pPr>
              <w:jc w:val="center"/>
            </w:pPr>
          </w:p>
        </w:tc>
      </w:tr>
      <w:tr w:rsidR="00585528" w:rsidTr="002C0D43">
        <w:tc>
          <w:tcPr>
            <w:tcW w:w="170" w:type="pct"/>
          </w:tcPr>
          <w:p w:rsidR="00BD0716" w:rsidRDefault="00EC679C" w:rsidP="006F0675">
            <w:r>
              <w:t>13</w:t>
            </w:r>
            <w:r w:rsidR="00BD0716">
              <w:t>.</w:t>
            </w:r>
          </w:p>
        </w:tc>
        <w:tc>
          <w:tcPr>
            <w:tcW w:w="744" w:type="pct"/>
          </w:tcPr>
          <w:p w:rsidR="00BD0716" w:rsidRPr="00BD0716" w:rsidRDefault="00BD0716" w:rsidP="00BD0716"/>
        </w:tc>
        <w:tc>
          <w:tcPr>
            <w:tcW w:w="746" w:type="pct"/>
          </w:tcPr>
          <w:p w:rsidR="00BD0716" w:rsidRDefault="007C65FE" w:rsidP="00BD0716">
            <w:pPr>
              <w:ind w:left="7"/>
            </w:pPr>
            <w:r>
              <w:t>Формирование</w:t>
            </w:r>
            <w:r w:rsidR="00BD0716" w:rsidRPr="00BD0716">
              <w:t xml:space="preserve"> реестр</w:t>
            </w:r>
            <w:r>
              <w:t>а</w:t>
            </w:r>
            <w:r w:rsidR="00BD0716" w:rsidRPr="00BD0716">
              <w:t xml:space="preserve"> земельных участков в муниципальных </w:t>
            </w:r>
            <w:proofErr w:type="gramStart"/>
            <w:r w:rsidR="00BD0716" w:rsidRPr="00BD0716">
              <w:t>образованиях</w:t>
            </w:r>
            <w:proofErr w:type="gramEnd"/>
            <w:r w:rsidR="00BD0716" w:rsidRPr="00BD0716">
              <w:t xml:space="preserve"> Тюменской области, </w:t>
            </w:r>
            <w:r w:rsidR="00BD0716" w:rsidRPr="00BD0716">
              <w:lastRenderedPageBreak/>
              <w:t>готовых для реа</w:t>
            </w:r>
            <w:r>
              <w:t>лизации инвестиционных проектов</w:t>
            </w:r>
          </w:p>
        </w:tc>
        <w:tc>
          <w:tcPr>
            <w:tcW w:w="1446" w:type="pct"/>
          </w:tcPr>
          <w:p w:rsidR="00BD0716" w:rsidRDefault="00BD0716" w:rsidP="00BD0716">
            <w:pPr>
              <w:spacing w:line="240" w:lineRule="atLeast"/>
              <w:ind w:left="-15" w:right="125"/>
              <w:jc w:val="both"/>
            </w:pPr>
            <w:r w:rsidRPr="009A41EB">
              <w:lastRenderedPageBreak/>
              <w:t>В реестре указаны подробные характеристики каждого земельного участка в муниципальном образовании, а также стоимость его аренды и выкупа инвестором и обустройства, включая стоимость подключения к сетям газ</w:t>
            </w:r>
            <w:proofErr w:type="gramStart"/>
            <w:r w:rsidRPr="009A41EB">
              <w:t>о-</w:t>
            </w:r>
            <w:proofErr w:type="gramEnd"/>
            <w:r w:rsidRPr="009A41EB">
              <w:t xml:space="preserve"> тепло- электро- </w:t>
            </w:r>
            <w:r w:rsidRPr="009A41EB">
              <w:lastRenderedPageBreak/>
              <w:t xml:space="preserve">снабжения, а также стоимость аренды и выкупа земельных участков. Благодаря такому качеству проработки документов  инвестор получает полную информацию о готовых площадках для осуществления базовых расчетов по реализации инвестиционного проекта до его начала. Это очень важно, когда строительство </w:t>
            </w:r>
            <w:proofErr w:type="gramStart"/>
            <w:r w:rsidRPr="009A41EB">
              <w:t>идет на заемные деньги и рентабельность проекта невысока</w:t>
            </w:r>
            <w:proofErr w:type="gramEnd"/>
            <w:r w:rsidRPr="009A41EB">
              <w:t>, поскольку позволяет ему еще на ранней стадии посчитать окупаемость проекта и исключить потери значительного количества времени. Всего в Тюменской области сформировано порядка 200 площадок, готовых для реализации инвестиционных проектов.</w:t>
            </w:r>
          </w:p>
          <w:p w:rsidR="00B41198" w:rsidRDefault="00B70797" w:rsidP="00B70797">
            <w:pPr>
              <w:spacing w:line="240" w:lineRule="atLeast"/>
              <w:ind w:left="-15" w:right="125"/>
              <w:jc w:val="both"/>
              <w:rPr>
                <w:rFonts w:cstheme="minorHAnsi"/>
                <w:color w:val="222222"/>
                <w:shd w:val="clear" w:color="auto" w:fill="FFFFFF"/>
              </w:rPr>
            </w:pPr>
            <w:r w:rsidRPr="00B70797">
              <w:rPr>
                <w:rFonts w:cstheme="minorHAnsi"/>
              </w:rPr>
              <w:t xml:space="preserve">В январе 2015 года  запущен </w:t>
            </w:r>
            <w:proofErr w:type="spellStart"/>
            <w:r w:rsidRPr="00B70797">
              <w:rPr>
                <w:rFonts w:cstheme="minorHAnsi"/>
                <w:color w:val="222222"/>
                <w:shd w:val="clear" w:color="auto" w:fill="FFFFFF"/>
              </w:rPr>
              <w:t>Геопортал</w:t>
            </w:r>
            <w:proofErr w:type="spellEnd"/>
            <w:r w:rsidRPr="00B70797">
              <w:rPr>
                <w:rFonts w:cstheme="minorHAnsi"/>
                <w:color w:val="222222"/>
                <w:shd w:val="clear" w:color="auto" w:fill="FFFFFF"/>
              </w:rPr>
              <w:t xml:space="preserve"> Тюменской области </w:t>
            </w:r>
            <w:hyperlink r:id="rId12" w:tgtFrame="_blank" w:history="1">
              <w:r w:rsidRPr="00B70797">
                <w:rPr>
                  <w:rFonts w:cstheme="minorHAnsi"/>
                  <w:color w:val="4072A5"/>
                  <w:u w:val="single"/>
                  <w:bdr w:val="none" w:sz="0" w:space="0" w:color="auto" w:frame="1"/>
                  <w:shd w:val="clear" w:color="auto" w:fill="FFFFFF"/>
                </w:rPr>
                <w:t>gis.72to.ru</w:t>
              </w:r>
            </w:hyperlink>
            <w:r w:rsidRPr="00B70797">
              <w:rPr>
                <w:rFonts w:cstheme="minorHAnsi"/>
                <w:color w:val="222222"/>
                <w:shd w:val="clear" w:color="auto" w:fill="FFFFFF"/>
              </w:rPr>
              <w:t xml:space="preserve"> . Это комплекс картографических сервисов, позволяющих получить доступ к региональным пространственным данным. В том числе пользователи портала могут выбрать земельный участок под интересуемый инвестиционный проект и ознакомиться с инфраструктурой или найти реализуемые инвестиционные объекты. </w:t>
            </w:r>
          </w:p>
          <w:p w:rsidR="00B70797" w:rsidRPr="00B70797" w:rsidRDefault="00B70797" w:rsidP="00B70797">
            <w:pPr>
              <w:spacing w:line="240" w:lineRule="atLeast"/>
              <w:ind w:left="-15" w:right="125"/>
              <w:jc w:val="both"/>
              <w:rPr>
                <w:rFonts w:cstheme="minorHAnsi"/>
              </w:rPr>
            </w:pPr>
          </w:p>
        </w:tc>
        <w:tc>
          <w:tcPr>
            <w:tcW w:w="362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334" w:type="pct"/>
          </w:tcPr>
          <w:p w:rsidR="00BD0716" w:rsidRDefault="008F5294" w:rsidP="003E4AB7">
            <w:pPr>
              <w:jc w:val="center"/>
            </w:pPr>
            <w:r>
              <w:t>2013</w:t>
            </w:r>
          </w:p>
        </w:tc>
        <w:tc>
          <w:tcPr>
            <w:tcW w:w="317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73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181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27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BD0716" w:rsidRDefault="00BD0716" w:rsidP="003E4AB7">
            <w:pPr>
              <w:jc w:val="center"/>
            </w:pPr>
          </w:p>
        </w:tc>
      </w:tr>
      <w:tr w:rsidR="002762C9" w:rsidTr="002C0D43">
        <w:tc>
          <w:tcPr>
            <w:tcW w:w="170" w:type="pct"/>
          </w:tcPr>
          <w:p w:rsidR="002762C9" w:rsidRDefault="00EC679C" w:rsidP="006F0675">
            <w:r>
              <w:lastRenderedPageBreak/>
              <w:t>14</w:t>
            </w:r>
            <w:r w:rsidR="002762C9">
              <w:t>.</w:t>
            </w:r>
          </w:p>
        </w:tc>
        <w:tc>
          <w:tcPr>
            <w:tcW w:w="744" w:type="pct"/>
          </w:tcPr>
          <w:p w:rsidR="002762C9" w:rsidRPr="00BD0716" w:rsidRDefault="00663796" w:rsidP="00BD0716">
            <w:r>
              <w:rPr>
                <w:rFonts w:cstheme="minorHAnsi"/>
              </w:rPr>
              <w:t>Р</w:t>
            </w:r>
            <w:r w:rsidRPr="00CE0078">
              <w:rPr>
                <w:rFonts w:cstheme="minorHAnsi"/>
              </w:rPr>
              <w:t>аспоряжение Правительства Тюменской области «О Совете по улучшению инвестиционного климата при Губернаторе Тюменской области» от 21 ноября 2012 года №2357-рп</w:t>
            </w:r>
          </w:p>
        </w:tc>
        <w:tc>
          <w:tcPr>
            <w:tcW w:w="746" w:type="pct"/>
          </w:tcPr>
          <w:p w:rsidR="002762C9" w:rsidRPr="00EC679C" w:rsidRDefault="002762C9" w:rsidP="00BD0716">
            <w:pPr>
              <w:ind w:left="7"/>
            </w:pPr>
            <w:r w:rsidRPr="00EC679C">
              <w:t>Функционирование Совета по улучшению инвестиционного климата при Губернаторе Тюменской области</w:t>
            </w:r>
          </w:p>
        </w:tc>
        <w:tc>
          <w:tcPr>
            <w:tcW w:w="1446" w:type="pct"/>
          </w:tcPr>
          <w:p w:rsidR="00162E32" w:rsidRPr="00EC679C" w:rsidRDefault="008D5F88" w:rsidP="00162E32">
            <w:pPr>
              <w:pStyle w:val="a8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679C">
              <w:rPr>
                <w:rFonts w:asciiTheme="minorHAnsi" w:hAnsiTheme="minorHAnsi" w:cstheme="minorHAnsi"/>
                <w:sz w:val="22"/>
                <w:szCs w:val="22"/>
              </w:rPr>
              <w:t xml:space="preserve">       В целях содействия созданию благоприятного инвестиционного климата, выработки конкретных мер по улучшению инвестиционного климата в регионе работает Совет по улучшению инвестиционного климата при</w:t>
            </w:r>
            <w:r w:rsidR="00663796" w:rsidRPr="00EC679C">
              <w:rPr>
                <w:rFonts w:asciiTheme="minorHAnsi" w:hAnsiTheme="minorHAnsi" w:cstheme="minorHAnsi"/>
                <w:sz w:val="22"/>
                <w:szCs w:val="22"/>
              </w:rPr>
              <w:t xml:space="preserve"> Губернаторе Тюменской области.</w:t>
            </w:r>
          </w:p>
          <w:p w:rsidR="00162E32" w:rsidRPr="00EC679C" w:rsidRDefault="00663796" w:rsidP="00162E32">
            <w:pPr>
              <w:pStyle w:val="a8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679C">
              <w:rPr>
                <w:rFonts w:asciiTheme="minorHAnsi" w:hAnsiTheme="minorHAnsi" w:cstheme="minorHAnsi"/>
                <w:sz w:val="22"/>
                <w:szCs w:val="22"/>
              </w:rPr>
              <w:t xml:space="preserve">Внесены изменения в состав и функционал  Совета по улучшению инвестиционного климата при Губернаторе Тюменской области. </w:t>
            </w:r>
          </w:p>
          <w:p w:rsidR="00663796" w:rsidRPr="00EC679C" w:rsidRDefault="00663796" w:rsidP="00162E32">
            <w:pPr>
              <w:pStyle w:val="a8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679C">
              <w:rPr>
                <w:rFonts w:asciiTheme="minorHAnsi" w:hAnsiTheme="minorHAnsi" w:cstheme="minorHAnsi"/>
                <w:sz w:val="22"/>
                <w:szCs w:val="22"/>
              </w:rPr>
              <w:t xml:space="preserve">(Распоряжение Правительства №989-рп от </w:t>
            </w:r>
            <w:r w:rsidRPr="00EC679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09.06.2014; Распоряжение Правительства №1825-рп от 10.10.2014).Работа Совета, помимо функций, определенных Инвестиционным Стандартом, теперь направлена на выработку предложений и организацию мероприятий по достижению наилучших результатов по всем показателям Национального рейтинга. </w:t>
            </w:r>
            <w:proofErr w:type="gramStart"/>
            <w:r w:rsidRPr="00EC679C">
              <w:rPr>
                <w:rFonts w:asciiTheme="minorHAnsi" w:hAnsiTheme="minorHAnsi" w:cstheme="minorHAnsi"/>
                <w:sz w:val="22"/>
                <w:szCs w:val="22"/>
              </w:rPr>
              <w:t>В состав совета включены ответственные за показатели национального рейтинга.</w:t>
            </w:r>
            <w:proofErr w:type="gramEnd"/>
          </w:p>
          <w:p w:rsidR="00AC54A5" w:rsidRPr="00AC54A5" w:rsidRDefault="00AC54A5" w:rsidP="00AC54A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Очередное заседание</w:t>
            </w:r>
            <w:r w:rsidRPr="00AC54A5">
              <w:rPr>
                <w:rFonts w:cstheme="minorHAnsi"/>
              </w:rPr>
              <w:t xml:space="preserve"> Совета по улучшению инвестиционного климата</w:t>
            </w:r>
          </w:p>
          <w:p w:rsidR="002762C9" w:rsidRDefault="00AC54A5" w:rsidP="00AC54A5">
            <w:pPr>
              <w:jc w:val="both"/>
              <w:rPr>
                <w:rFonts w:cstheme="minorHAnsi"/>
              </w:rPr>
            </w:pPr>
            <w:r w:rsidRPr="00AC54A5">
              <w:rPr>
                <w:rFonts w:cstheme="minorHAnsi"/>
              </w:rPr>
              <w:t>при Губернаторе Тюменской области</w:t>
            </w:r>
            <w:r>
              <w:rPr>
                <w:rFonts w:cstheme="minorHAnsi"/>
              </w:rPr>
              <w:t xml:space="preserve"> состоялось </w:t>
            </w:r>
            <w:r w:rsidRPr="00AC54A5">
              <w:rPr>
                <w:rFonts w:cstheme="minorHAnsi"/>
              </w:rPr>
              <w:t>22 мая 2015 года</w:t>
            </w:r>
            <w:r>
              <w:rPr>
                <w:rFonts w:cstheme="minorHAnsi"/>
              </w:rPr>
              <w:t>.</w:t>
            </w:r>
          </w:p>
          <w:p w:rsidR="00AC54A5" w:rsidRPr="00EC679C" w:rsidRDefault="00AC54A5" w:rsidP="00AC54A5">
            <w:pPr>
              <w:jc w:val="both"/>
              <w:rPr>
                <w:rFonts w:cstheme="minorHAnsi"/>
              </w:rPr>
            </w:pPr>
          </w:p>
        </w:tc>
        <w:tc>
          <w:tcPr>
            <w:tcW w:w="362" w:type="pct"/>
          </w:tcPr>
          <w:p w:rsidR="002762C9" w:rsidRDefault="002762C9" w:rsidP="003E4AB7">
            <w:pPr>
              <w:jc w:val="center"/>
            </w:pPr>
          </w:p>
        </w:tc>
        <w:tc>
          <w:tcPr>
            <w:tcW w:w="334" w:type="pct"/>
          </w:tcPr>
          <w:p w:rsidR="002762C9" w:rsidRDefault="002762C9" w:rsidP="003E4AB7">
            <w:pPr>
              <w:jc w:val="center"/>
            </w:pPr>
          </w:p>
        </w:tc>
        <w:tc>
          <w:tcPr>
            <w:tcW w:w="317" w:type="pct"/>
          </w:tcPr>
          <w:p w:rsidR="002762C9" w:rsidRDefault="002762C9" w:rsidP="003E4AB7">
            <w:pPr>
              <w:jc w:val="center"/>
            </w:pPr>
          </w:p>
        </w:tc>
        <w:tc>
          <w:tcPr>
            <w:tcW w:w="273" w:type="pct"/>
          </w:tcPr>
          <w:p w:rsidR="002762C9" w:rsidRDefault="002762C9" w:rsidP="003E4AB7">
            <w:pPr>
              <w:jc w:val="center"/>
            </w:pPr>
          </w:p>
        </w:tc>
        <w:tc>
          <w:tcPr>
            <w:tcW w:w="181" w:type="pct"/>
          </w:tcPr>
          <w:p w:rsidR="002762C9" w:rsidRDefault="002762C9" w:rsidP="003E4AB7">
            <w:pPr>
              <w:jc w:val="center"/>
            </w:pPr>
          </w:p>
        </w:tc>
        <w:tc>
          <w:tcPr>
            <w:tcW w:w="227" w:type="pct"/>
          </w:tcPr>
          <w:p w:rsidR="002762C9" w:rsidRDefault="002762C9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2762C9" w:rsidRDefault="002762C9" w:rsidP="003E4AB7">
            <w:pPr>
              <w:jc w:val="center"/>
            </w:pPr>
          </w:p>
        </w:tc>
      </w:tr>
      <w:tr w:rsidR="00663796" w:rsidTr="002C0D43">
        <w:tc>
          <w:tcPr>
            <w:tcW w:w="170" w:type="pct"/>
          </w:tcPr>
          <w:p w:rsidR="00663796" w:rsidRDefault="00EC679C" w:rsidP="006F0675">
            <w:r>
              <w:lastRenderedPageBreak/>
              <w:t>15.</w:t>
            </w:r>
          </w:p>
        </w:tc>
        <w:tc>
          <w:tcPr>
            <w:tcW w:w="744" w:type="pct"/>
          </w:tcPr>
          <w:p w:rsidR="00663796" w:rsidRPr="00BD0716" w:rsidRDefault="00663796" w:rsidP="00BD0716"/>
        </w:tc>
        <w:tc>
          <w:tcPr>
            <w:tcW w:w="746" w:type="pct"/>
          </w:tcPr>
          <w:p w:rsidR="00663796" w:rsidRPr="00EC679C" w:rsidRDefault="00663796" w:rsidP="00663796">
            <w:pPr>
              <w:spacing w:line="240" w:lineRule="atLeast"/>
              <w:ind w:right="107"/>
              <w:rPr>
                <w:rFonts w:eastAsia="Times New Roman" w:cstheme="minorHAnsi"/>
                <w:lang w:eastAsia="ru-RU"/>
              </w:rPr>
            </w:pPr>
            <w:r w:rsidRPr="00EC679C">
              <w:rPr>
                <w:rFonts w:eastAsia="Times New Roman" w:cstheme="minorHAnsi"/>
                <w:lang w:eastAsia="ru-RU"/>
              </w:rPr>
              <w:t xml:space="preserve">Формирование системы работы с инвесторами в муниципальных </w:t>
            </w:r>
            <w:proofErr w:type="gramStart"/>
            <w:r w:rsidRPr="00EC679C">
              <w:rPr>
                <w:rFonts w:eastAsia="Times New Roman" w:cstheme="minorHAnsi"/>
                <w:lang w:eastAsia="ru-RU"/>
              </w:rPr>
              <w:t>образованиях</w:t>
            </w:r>
            <w:proofErr w:type="gramEnd"/>
            <w:r w:rsidRPr="00EC679C">
              <w:rPr>
                <w:rFonts w:eastAsia="Times New Roman" w:cstheme="minorHAnsi"/>
                <w:lang w:eastAsia="ru-RU"/>
              </w:rPr>
              <w:t xml:space="preserve"> Тюменской области</w:t>
            </w:r>
          </w:p>
          <w:p w:rsidR="00663796" w:rsidRPr="00EC679C" w:rsidRDefault="00663796" w:rsidP="00BD0716">
            <w:pPr>
              <w:ind w:left="7"/>
              <w:rPr>
                <w:rFonts w:cstheme="minorHAnsi"/>
              </w:rPr>
            </w:pPr>
          </w:p>
        </w:tc>
        <w:tc>
          <w:tcPr>
            <w:tcW w:w="1446" w:type="pct"/>
          </w:tcPr>
          <w:p w:rsidR="00663796" w:rsidRPr="00EC679C" w:rsidRDefault="00663796" w:rsidP="00162E32">
            <w:pPr>
              <w:pStyle w:val="a4"/>
              <w:ind w:left="0" w:right="35" w:firstLine="35"/>
              <w:jc w:val="both"/>
              <w:rPr>
                <w:rFonts w:cstheme="minorHAnsi"/>
              </w:rPr>
            </w:pPr>
            <w:r w:rsidRPr="00EC679C">
              <w:rPr>
                <w:rFonts w:cstheme="minorHAnsi"/>
              </w:rPr>
              <w:t>Для того</w:t>
            </w:r>
            <w:proofErr w:type="gramStart"/>
            <w:r w:rsidRPr="00EC679C">
              <w:rPr>
                <w:rFonts w:cstheme="minorHAnsi"/>
              </w:rPr>
              <w:t>,</w:t>
            </w:r>
            <w:proofErr w:type="gramEnd"/>
            <w:r w:rsidRPr="00EC679C">
              <w:rPr>
                <w:rFonts w:cstheme="minorHAnsi"/>
              </w:rPr>
              <w:t xml:space="preserve"> чтобы стимулировать глав муниципалитетов к работе с инвесторами введены несколько показателей эффективности – прирост инвестиций в основной капитал,  количество рабочих мест, прирост количества созданных новых субъектов предпринимательства и прирост оборота продукции предприятий малого бизнеса. </w:t>
            </w:r>
          </w:p>
          <w:p w:rsidR="00663796" w:rsidRPr="00EC679C" w:rsidRDefault="00663796" w:rsidP="00162E32">
            <w:pPr>
              <w:pStyle w:val="a4"/>
              <w:ind w:left="0" w:right="35" w:firstLine="35"/>
              <w:jc w:val="both"/>
              <w:rPr>
                <w:rFonts w:cstheme="minorHAnsi"/>
              </w:rPr>
            </w:pPr>
            <w:r w:rsidRPr="00EC679C">
              <w:rPr>
                <w:rFonts w:cstheme="minorHAnsi"/>
              </w:rPr>
              <w:t>Сформирован рейтинг муниципальных образований по результатам работы в 2014 году.</w:t>
            </w:r>
          </w:p>
          <w:p w:rsidR="00663796" w:rsidRPr="00EC679C" w:rsidRDefault="00663796" w:rsidP="00162E32">
            <w:pPr>
              <w:pStyle w:val="a4"/>
              <w:ind w:left="0" w:right="35" w:firstLine="35"/>
              <w:jc w:val="both"/>
              <w:rPr>
                <w:rFonts w:cstheme="minorHAnsi"/>
              </w:rPr>
            </w:pPr>
            <w:r w:rsidRPr="00EC679C">
              <w:rPr>
                <w:rFonts w:cstheme="minorHAnsi"/>
              </w:rPr>
              <w:t xml:space="preserve">С 2015 года от достижения этих показателей зависит и финансовое вознаграждение главы муниципалитета и его ключевых заместителей, в части выплат не входящих в оклад и обязательные надбавки. </w:t>
            </w:r>
          </w:p>
          <w:p w:rsidR="00663796" w:rsidRPr="00EC679C" w:rsidRDefault="00663796" w:rsidP="00162E32">
            <w:pPr>
              <w:pStyle w:val="a4"/>
              <w:ind w:left="0" w:right="35" w:firstLine="35"/>
              <w:jc w:val="both"/>
              <w:rPr>
                <w:rFonts w:cstheme="minorHAnsi"/>
              </w:rPr>
            </w:pPr>
            <w:r w:rsidRPr="00EC679C">
              <w:rPr>
                <w:rFonts w:cstheme="minorHAnsi"/>
              </w:rPr>
              <w:t>Внедряется  Стандарт деятельности органов местного самоуправления муниципальных образований Тюменской области по обеспечению благоприятного инвестиционного климата.</w:t>
            </w:r>
          </w:p>
          <w:p w:rsidR="00663796" w:rsidRPr="00EC679C" w:rsidRDefault="00663796" w:rsidP="00162E32">
            <w:pPr>
              <w:pStyle w:val="a4"/>
              <w:ind w:left="0" w:right="35" w:firstLine="35"/>
              <w:jc w:val="both"/>
              <w:rPr>
                <w:rFonts w:cstheme="minorHAnsi"/>
              </w:rPr>
            </w:pPr>
            <w:r w:rsidRPr="00EC679C">
              <w:rPr>
                <w:rFonts w:cstheme="minorHAnsi"/>
              </w:rPr>
              <w:t xml:space="preserve">Стандарт содержит 13 пунктов, выполнение которых будет оцениваться Экспертной </w:t>
            </w:r>
            <w:r w:rsidRPr="00EC679C">
              <w:rPr>
                <w:rFonts w:cstheme="minorHAnsi"/>
              </w:rPr>
              <w:lastRenderedPageBreak/>
              <w:t>группой АСИ по оценке внедрения Стандарта в Тюменской области совместно с Правительством Тюменской области.</w:t>
            </w:r>
          </w:p>
          <w:p w:rsidR="00663796" w:rsidRPr="00EC679C" w:rsidRDefault="00663796" w:rsidP="008D5F88">
            <w:pPr>
              <w:pStyle w:val="a8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2" w:type="pct"/>
          </w:tcPr>
          <w:p w:rsidR="00663796" w:rsidRDefault="00663796" w:rsidP="003E4AB7">
            <w:pPr>
              <w:jc w:val="center"/>
            </w:pPr>
          </w:p>
        </w:tc>
        <w:tc>
          <w:tcPr>
            <w:tcW w:w="334" w:type="pct"/>
          </w:tcPr>
          <w:p w:rsidR="00663796" w:rsidRDefault="00663796" w:rsidP="003E4AB7">
            <w:pPr>
              <w:jc w:val="center"/>
            </w:pPr>
          </w:p>
        </w:tc>
        <w:tc>
          <w:tcPr>
            <w:tcW w:w="317" w:type="pct"/>
          </w:tcPr>
          <w:p w:rsidR="00663796" w:rsidRDefault="00663796" w:rsidP="003E4AB7">
            <w:pPr>
              <w:jc w:val="center"/>
            </w:pPr>
          </w:p>
        </w:tc>
        <w:tc>
          <w:tcPr>
            <w:tcW w:w="273" w:type="pct"/>
          </w:tcPr>
          <w:p w:rsidR="00663796" w:rsidRDefault="00663796" w:rsidP="003E4AB7">
            <w:pPr>
              <w:jc w:val="center"/>
            </w:pPr>
          </w:p>
        </w:tc>
        <w:tc>
          <w:tcPr>
            <w:tcW w:w="181" w:type="pct"/>
          </w:tcPr>
          <w:p w:rsidR="00663796" w:rsidRDefault="00663796" w:rsidP="003E4AB7">
            <w:pPr>
              <w:jc w:val="center"/>
            </w:pPr>
          </w:p>
        </w:tc>
        <w:tc>
          <w:tcPr>
            <w:tcW w:w="227" w:type="pct"/>
          </w:tcPr>
          <w:p w:rsidR="00663796" w:rsidRDefault="00663796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663796" w:rsidRDefault="00663796" w:rsidP="003E4AB7">
            <w:pPr>
              <w:jc w:val="center"/>
            </w:pPr>
          </w:p>
        </w:tc>
      </w:tr>
      <w:tr w:rsidR="00585528" w:rsidTr="002C0D43">
        <w:tc>
          <w:tcPr>
            <w:tcW w:w="170" w:type="pct"/>
          </w:tcPr>
          <w:p w:rsidR="00BD0716" w:rsidRDefault="00EC679C" w:rsidP="006F0675">
            <w:r>
              <w:lastRenderedPageBreak/>
              <w:t>16</w:t>
            </w:r>
            <w:r w:rsidR="004661B7">
              <w:t>.</w:t>
            </w:r>
          </w:p>
        </w:tc>
        <w:tc>
          <w:tcPr>
            <w:tcW w:w="744" w:type="pct"/>
          </w:tcPr>
          <w:p w:rsidR="00BD0716" w:rsidRPr="00BD0716" w:rsidRDefault="00BD0716" w:rsidP="00BD0716"/>
        </w:tc>
        <w:tc>
          <w:tcPr>
            <w:tcW w:w="746" w:type="pct"/>
          </w:tcPr>
          <w:p w:rsidR="00BD0716" w:rsidRPr="00BD0716" w:rsidRDefault="00BD0716" w:rsidP="00BD0716">
            <w:pPr>
              <w:ind w:left="7"/>
            </w:pPr>
            <w:r w:rsidRPr="00BD0716">
              <w:t xml:space="preserve">Взаимодействие с </w:t>
            </w:r>
            <w:proofErr w:type="spellStart"/>
            <w:r w:rsidRPr="00BD0716">
              <w:t>ресурсоснабжающими</w:t>
            </w:r>
            <w:proofErr w:type="spellEnd"/>
            <w:r w:rsidRPr="00BD0716">
              <w:t xml:space="preserve"> организациями и территориальными органами федеральной власти, администрациями муниципалитетов</w:t>
            </w:r>
          </w:p>
        </w:tc>
        <w:tc>
          <w:tcPr>
            <w:tcW w:w="1446" w:type="pct"/>
          </w:tcPr>
          <w:p w:rsidR="00BD0716" w:rsidRPr="009A41EB" w:rsidRDefault="00BD0716" w:rsidP="00162E32">
            <w:pPr>
              <w:spacing w:line="240" w:lineRule="atLeast"/>
              <w:ind w:left="35" w:right="125"/>
              <w:jc w:val="both"/>
            </w:pPr>
            <w:r w:rsidRPr="009A41EB">
              <w:t xml:space="preserve">1)31.07.2013 подписаны соглашения Правительства области с администрациями муниципалитетов, с </w:t>
            </w:r>
            <w:proofErr w:type="spellStart"/>
            <w:r w:rsidRPr="009A41EB">
              <w:t>ресурсоснабжающими</w:t>
            </w:r>
            <w:proofErr w:type="spellEnd"/>
            <w:r w:rsidRPr="009A41EB">
              <w:t xml:space="preserve"> организациями и территориальными органами федеральной власти, завязанными на инвестиционные процедуры.  Неотъемлемой частью соглашений является реестр инвестиционных проектов Тюменской области с разделом, содержащим четкое описание проблемных вопросов взаимодействия с указанными инстанциями сетевыми организациями (конкретные проблем конкретных инвесторов-подключения к сетям, нехватка мощностей).</w:t>
            </w:r>
          </w:p>
          <w:p w:rsidR="00BD0716" w:rsidRPr="009A41EB" w:rsidRDefault="00BD0716" w:rsidP="00162E32">
            <w:pPr>
              <w:spacing w:line="240" w:lineRule="atLeast"/>
              <w:ind w:left="35" w:right="125"/>
              <w:jc w:val="both"/>
            </w:pPr>
            <w:r w:rsidRPr="009A41EB">
              <w:t xml:space="preserve">2) Проблемные вопросы по реализации отдельных крупных инвестиционных проектов решаются на рабочей группе при Совете по улучшению инвестиционного климата в Тюменской области, включающей в себя представителей Правительства, территориальных подразделений федеральных органов власти и </w:t>
            </w:r>
            <w:proofErr w:type="spellStart"/>
            <w:r w:rsidRPr="009A41EB">
              <w:t>ресурсоснабжающих</w:t>
            </w:r>
            <w:proofErr w:type="spellEnd"/>
            <w:r w:rsidRPr="009A41EB">
              <w:t xml:space="preserve"> организаций. </w:t>
            </w:r>
          </w:p>
          <w:p w:rsidR="00BD0716" w:rsidRDefault="00BD0716" w:rsidP="00162E32">
            <w:pPr>
              <w:spacing w:line="240" w:lineRule="atLeast"/>
              <w:ind w:left="35" w:right="125"/>
              <w:jc w:val="both"/>
            </w:pPr>
            <w:r w:rsidRPr="009A41EB">
              <w:t>Вопросы по инвестиционным проектам предприятий малого и среднего бизнеса рассматриваются на Советах по развитию предпринимательства в муниципальных образованиях, которые являются рабочими планерками по решению насущных проблем предпринимателей, реализующих проекты развития на территории муниципальных образований</w:t>
            </w:r>
            <w:r w:rsidR="00B41198">
              <w:t>.</w:t>
            </w:r>
          </w:p>
          <w:p w:rsidR="00B41198" w:rsidRPr="009A41EB" w:rsidRDefault="00B41198" w:rsidP="00BD0716">
            <w:pPr>
              <w:spacing w:line="240" w:lineRule="atLeast"/>
              <w:ind w:left="-15" w:right="125"/>
              <w:jc w:val="both"/>
            </w:pPr>
          </w:p>
        </w:tc>
        <w:tc>
          <w:tcPr>
            <w:tcW w:w="362" w:type="pct"/>
          </w:tcPr>
          <w:p w:rsidR="00BD0716" w:rsidRDefault="008F5294" w:rsidP="003E4AB7">
            <w:pPr>
              <w:jc w:val="center"/>
            </w:pPr>
            <w:r>
              <w:t>Взаимодействие на постоянной основе</w:t>
            </w:r>
          </w:p>
        </w:tc>
        <w:tc>
          <w:tcPr>
            <w:tcW w:w="334" w:type="pct"/>
          </w:tcPr>
          <w:p w:rsidR="00BD0716" w:rsidRDefault="008F5294" w:rsidP="003E4AB7">
            <w:pPr>
              <w:jc w:val="center"/>
            </w:pPr>
            <w:r>
              <w:t>Взаимодействие на постоянной основе</w:t>
            </w:r>
          </w:p>
        </w:tc>
        <w:tc>
          <w:tcPr>
            <w:tcW w:w="317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73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181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27" w:type="pct"/>
          </w:tcPr>
          <w:p w:rsidR="00BD0716" w:rsidRDefault="00BD0716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BD0716" w:rsidRDefault="00BD0716" w:rsidP="003E4AB7">
            <w:pPr>
              <w:jc w:val="center"/>
            </w:pPr>
          </w:p>
        </w:tc>
      </w:tr>
      <w:tr w:rsidR="00585528" w:rsidTr="002C0D43">
        <w:tc>
          <w:tcPr>
            <w:tcW w:w="170" w:type="pct"/>
          </w:tcPr>
          <w:p w:rsidR="00606039" w:rsidRDefault="00EC679C" w:rsidP="006F0675">
            <w:r>
              <w:lastRenderedPageBreak/>
              <w:t>17</w:t>
            </w:r>
            <w:r w:rsidR="004661B7">
              <w:t>.</w:t>
            </w:r>
          </w:p>
        </w:tc>
        <w:tc>
          <w:tcPr>
            <w:tcW w:w="744" w:type="pct"/>
          </w:tcPr>
          <w:p w:rsidR="00606039" w:rsidRPr="00BD0716" w:rsidRDefault="00606039" w:rsidP="00BD0716"/>
        </w:tc>
        <w:tc>
          <w:tcPr>
            <w:tcW w:w="746" w:type="pct"/>
          </w:tcPr>
          <w:p w:rsidR="00606039" w:rsidRPr="00BD0716" w:rsidRDefault="00606039" w:rsidP="00606039">
            <w:pPr>
              <w:ind w:left="7"/>
            </w:pPr>
            <w:r>
              <w:t>Внедрение Стандарта АСИ в Тюменской области</w:t>
            </w:r>
          </w:p>
        </w:tc>
        <w:tc>
          <w:tcPr>
            <w:tcW w:w="1446" w:type="pct"/>
          </w:tcPr>
          <w:p w:rsidR="00606039" w:rsidRPr="009A41EB" w:rsidRDefault="00663796" w:rsidP="00162E32">
            <w:pPr>
              <w:spacing w:line="240" w:lineRule="atLeast"/>
              <w:ind w:left="35" w:right="125"/>
              <w:jc w:val="both"/>
            </w:pPr>
            <w:r w:rsidRPr="00EC679C">
              <w:t xml:space="preserve">По итогам мониторинга Экспертной группы АСИ в 2014 году все 15 пунктов </w:t>
            </w:r>
            <w:proofErr w:type="gramStart"/>
            <w:r w:rsidRPr="00EC679C">
              <w:t>Стандарта</w:t>
            </w:r>
            <w:r w:rsidRPr="00EC679C">
              <w:rPr>
                <w:b/>
                <w:bCs/>
              </w:rPr>
              <w:t xml:space="preserve"> </w:t>
            </w:r>
            <w:r w:rsidRPr="00EC679C">
              <w:rPr>
                <w:bCs/>
              </w:rPr>
              <w:t>деятельности органов исполнительной власти субъекта Российской Федерации</w:t>
            </w:r>
            <w:proofErr w:type="gramEnd"/>
            <w:r w:rsidRPr="00EC679C">
              <w:rPr>
                <w:bCs/>
              </w:rPr>
              <w:t xml:space="preserve"> по обеспечению благоприятного инвестиционного климата в регионе</w:t>
            </w:r>
            <w:r w:rsidRPr="00EC679C">
              <w:t xml:space="preserve"> выполняются.</w:t>
            </w:r>
          </w:p>
        </w:tc>
        <w:tc>
          <w:tcPr>
            <w:tcW w:w="362" w:type="pct"/>
          </w:tcPr>
          <w:p w:rsidR="00606039" w:rsidRDefault="00606039" w:rsidP="003E4AB7">
            <w:pPr>
              <w:jc w:val="center"/>
            </w:pPr>
          </w:p>
        </w:tc>
        <w:tc>
          <w:tcPr>
            <w:tcW w:w="334" w:type="pct"/>
          </w:tcPr>
          <w:p w:rsidR="00606039" w:rsidRDefault="0026498F" w:rsidP="003E4AB7">
            <w:pPr>
              <w:jc w:val="center"/>
            </w:pPr>
            <w:r>
              <w:t>2014</w:t>
            </w:r>
          </w:p>
        </w:tc>
        <w:tc>
          <w:tcPr>
            <w:tcW w:w="317" w:type="pct"/>
          </w:tcPr>
          <w:p w:rsidR="00606039" w:rsidRDefault="00606039" w:rsidP="003E4AB7">
            <w:pPr>
              <w:jc w:val="center"/>
            </w:pPr>
          </w:p>
        </w:tc>
        <w:tc>
          <w:tcPr>
            <w:tcW w:w="273" w:type="pct"/>
          </w:tcPr>
          <w:p w:rsidR="00606039" w:rsidRDefault="00606039" w:rsidP="003E4AB7">
            <w:pPr>
              <w:jc w:val="center"/>
            </w:pPr>
          </w:p>
        </w:tc>
        <w:tc>
          <w:tcPr>
            <w:tcW w:w="181" w:type="pct"/>
          </w:tcPr>
          <w:p w:rsidR="00606039" w:rsidRDefault="00606039" w:rsidP="003E4AB7">
            <w:pPr>
              <w:jc w:val="center"/>
            </w:pPr>
          </w:p>
        </w:tc>
        <w:tc>
          <w:tcPr>
            <w:tcW w:w="227" w:type="pct"/>
          </w:tcPr>
          <w:p w:rsidR="00606039" w:rsidRDefault="00606039" w:rsidP="003E4AB7">
            <w:pPr>
              <w:jc w:val="center"/>
            </w:pPr>
          </w:p>
        </w:tc>
        <w:tc>
          <w:tcPr>
            <w:tcW w:w="200" w:type="pct"/>
            <w:gridSpan w:val="2"/>
          </w:tcPr>
          <w:p w:rsidR="00606039" w:rsidRDefault="00606039" w:rsidP="003E4AB7">
            <w:pPr>
              <w:jc w:val="center"/>
            </w:pPr>
          </w:p>
        </w:tc>
      </w:tr>
    </w:tbl>
    <w:p w:rsidR="00EC6A73" w:rsidRPr="003E4AB7" w:rsidRDefault="00EC6A73" w:rsidP="003E4AB7">
      <w:pPr>
        <w:spacing w:line="240" w:lineRule="auto"/>
        <w:jc w:val="center"/>
      </w:pPr>
    </w:p>
    <w:sectPr w:rsidR="00EC6A73" w:rsidRPr="003E4AB7" w:rsidSect="003E4AB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7DF0"/>
    <w:multiLevelType w:val="hybridMultilevel"/>
    <w:tmpl w:val="65E46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46AF1"/>
    <w:multiLevelType w:val="hybridMultilevel"/>
    <w:tmpl w:val="BB983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B2040"/>
    <w:multiLevelType w:val="hybridMultilevel"/>
    <w:tmpl w:val="18E6890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147E1"/>
    <w:multiLevelType w:val="hybridMultilevel"/>
    <w:tmpl w:val="048CCE50"/>
    <w:lvl w:ilvl="0" w:tplc="B106A40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2F7348"/>
    <w:multiLevelType w:val="hybridMultilevel"/>
    <w:tmpl w:val="D0BE8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165B5"/>
    <w:multiLevelType w:val="hybridMultilevel"/>
    <w:tmpl w:val="18E68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B7"/>
    <w:rsid w:val="00000D87"/>
    <w:rsid w:val="00001B1E"/>
    <w:rsid w:val="00001DFE"/>
    <w:rsid w:val="00004BDE"/>
    <w:rsid w:val="00007109"/>
    <w:rsid w:val="00007241"/>
    <w:rsid w:val="00007CAE"/>
    <w:rsid w:val="00007FD2"/>
    <w:rsid w:val="000129B8"/>
    <w:rsid w:val="00012B55"/>
    <w:rsid w:val="00017DB9"/>
    <w:rsid w:val="000233F1"/>
    <w:rsid w:val="0002556A"/>
    <w:rsid w:val="00026D4A"/>
    <w:rsid w:val="00030467"/>
    <w:rsid w:val="0003109E"/>
    <w:rsid w:val="000311A4"/>
    <w:rsid w:val="00034569"/>
    <w:rsid w:val="00035CE1"/>
    <w:rsid w:val="0003626D"/>
    <w:rsid w:val="00036AB3"/>
    <w:rsid w:val="00040853"/>
    <w:rsid w:val="000409A7"/>
    <w:rsid w:val="00044E1E"/>
    <w:rsid w:val="000457F8"/>
    <w:rsid w:val="00045C07"/>
    <w:rsid w:val="0005010A"/>
    <w:rsid w:val="0005054E"/>
    <w:rsid w:val="00050653"/>
    <w:rsid w:val="000512DC"/>
    <w:rsid w:val="00053362"/>
    <w:rsid w:val="0005359F"/>
    <w:rsid w:val="00054ED8"/>
    <w:rsid w:val="000566E7"/>
    <w:rsid w:val="000602A0"/>
    <w:rsid w:val="00060B31"/>
    <w:rsid w:val="000612DD"/>
    <w:rsid w:val="000627C7"/>
    <w:rsid w:val="00063A1D"/>
    <w:rsid w:val="00066E39"/>
    <w:rsid w:val="0007014B"/>
    <w:rsid w:val="00070DDE"/>
    <w:rsid w:val="00071313"/>
    <w:rsid w:val="00071C77"/>
    <w:rsid w:val="00072009"/>
    <w:rsid w:val="00072992"/>
    <w:rsid w:val="00073073"/>
    <w:rsid w:val="000737F8"/>
    <w:rsid w:val="00074673"/>
    <w:rsid w:val="000770DE"/>
    <w:rsid w:val="00077825"/>
    <w:rsid w:val="0008311F"/>
    <w:rsid w:val="000839F0"/>
    <w:rsid w:val="000845B9"/>
    <w:rsid w:val="0008508A"/>
    <w:rsid w:val="00085D02"/>
    <w:rsid w:val="00087A13"/>
    <w:rsid w:val="00090773"/>
    <w:rsid w:val="00090915"/>
    <w:rsid w:val="00092D72"/>
    <w:rsid w:val="00093C55"/>
    <w:rsid w:val="00093F6A"/>
    <w:rsid w:val="000943D9"/>
    <w:rsid w:val="00094F4C"/>
    <w:rsid w:val="000970A2"/>
    <w:rsid w:val="000A1BF9"/>
    <w:rsid w:val="000A4D72"/>
    <w:rsid w:val="000A72E8"/>
    <w:rsid w:val="000B0058"/>
    <w:rsid w:val="000B09B5"/>
    <w:rsid w:val="000B3308"/>
    <w:rsid w:val="000B7862"/>
    <w:rsid w:val="000C05CA"/>
    <w:rsid w:val="000C25FE"/>
    <w:rsid w:val="000C4752"/>
    <w:rsid w:val="000C4D58"/>
    <w:rsid w:val="000C51AC"/>
    <w:rsid w:val="000C6D24"/>
    <w:rsid w:val="000C6D34"/>
    <w:rsid w:val="000D0E18"/>
    <w:rsid w:val="000D0F3C"/>
    <w:rsid w:val="000D41E3"/>
    <w:rsid w:val="000D4869"/>
    <w:rsid w:val="000D5342"/>
    <w:rsid w:val="000D6061"/>
    <w:rsid w:val="000D648F"/>
    <w:rsid w:val="000E21E5"/>
    <w:rsid w:val="000E39C6"/>
    <w:rsid w:val="000E3F21"/>
    <w:rsid w:val="000E40B1"/>
    <w:rsid w:val="000E442B"/>
    <w:rsid w:val="000E4C0E"/>
    <w:rsid w:val="000E62AD"/>
    <w:rsid w:val="000E6D0D"/>
    <w:rsid w:val="000E761E"/>
    <w:rsid w:val="000E7D6B"/>
    <w:rsid w:val="000F236A"/>
    <w:rsid w:val="000F2990"/>
    <w:rsid w:val="000F303D"/>
    <w:rsid w:val="000F34C6"/>
    <w:rsid w:val="000F3852"/>
    <w:rsid w:val="000F4B2C"/>
    <w:rsid w:val="000F60EE"/>
    <w:rsid w:val="000F6B8E"/>
    <w:rsid w:val="000F7DCA"/>
    <w:rsid w:val="0010081E"/>
    <w:rsid w:val="00101609"/>
    <w:rsid w:val="0010165F"/>
    <w:rsid w:val="00101EF4"/>
    <w:rsid w:val="001033B7"/>
    <w:rsid w:val="00103765"/>
    <w:rsid w:val="00103DBA"/>
    <w:rsid w:val="00106286"/>
    <w:rsid w:val="001068DA"/>
    <w:rsid w:val="00107F6E"/>
    <w:rsid w:val="00110C3B"/>
    <w:rsid w:val="00112CE4"/>
    <w:rsid w:val="001130E0"/>
    <w:rsid w:val="0011672D"/>
    <w:rsid w:val="00117B89"/>
    <w:rsid w:val="00121A4C"/>
    <w:rsid w:val="001239C8"/>
    <w:rsid w:val="00123FC3"/>
    <w:rsid w:val="00125055"/>
    <w:rsid w:val="001316D8"/>
    <w:rsid w:val="0013255E"/>
    <w:rsid w:val="00133A28"/>
    <w:rsid w:val="00134E2C"/>
    <w:rsid w:val="00135229"/>
    <w:rsid w:val="00136C89"/>
    <w:rsid w:val="001373EA"/>
    <w:rsid w:val="00137642"/>
    <w:rsid w:val="00144056"/>
    <w:rsid w:val="00145B2A"/>
    <w:rsid w:val="00146452"/>
    <w:rsid w:val="0015442E"/>
    <w:rsid w:val="00155761"/>
    <w:rsid w:val="0015593F"/>
    <w:rsid w:val="00155C18"/>
    <w:rsid w:val="00157104"/>
    <w:rsid w:val="00157219"/>
    <w:rsid w:val="00160E8A"/>
    <w:rsid w:val="00161238"/>
    <w:rsid w:val="00162864"/>
    <w:rsid w:val="00162E32"/>
    <w:rsid w:val="001632A6"/>
    <w:rsid w:val="0016612D"/>
    <w:rsid w:val="001668EF"/>
    <w:rsid w:val="00167D23"/>
    <w:rsid w:val="001709CC"/>
    <w:rsid w:val="001762A7"/>
    <w:rsid w:val="001773AB"/>
    <w:rsid w:val="001805D0"/>
    <w:rsid w:val="00181A66"/>
    <w:rsid w:val="001820D6"/>
    <w:rsid w:val="00186491"/>
    <w:rsid w:val="00190F6A"/>
    <w:rsid w:val="00193154"/>
    <w:rsid w:val="00193889"/>
    <w:rsid w:val="0019503E"/>
    <w:rsid w:val="001957B9"/>
    <w:rsid w:val="00196B2C"/>
    <w:rsid w:val="00196FF3"/>
    <w:rsid w:val="001A015E"/>
    <w:rsid w:val="001A1177"/>
    <w:rsid w:val="001A4D35"/>
    <w:rsid w:val="001A5628"/>
    <w:rsid w:val="001A6358"/>
    <w:rsid w:val="001B099D"/>
    <w:rsid w:val="001B1717"/>
    <w:rsid w:val="001B271E"/>
    <w:rsid w:val="001B2FA3"/>
    <w:rsid w:val="001B399B"/>
    <w:rsid w:val="001B40A8"/>
    <w:rsid w:val="001B4DD7"/>
    <w:rsid w:val="001C2398"/>
    <w:rsid w:val="001C3569"/>
    <w:rsid w:val="001C4096"/>
    <w:rsid w:val="001C65CE"/>
    <w:rsid w:val="001C7054"/>
    <w:rsid w:val="001C781B"/>
    <w:rsid w:val="001D1286"/>
    <w:rsid w:val="001D2A0D"/>
    <w:rsid w:val="001D2D33"/>
    <w:rsid w:val="001D2E4B"/>
    <w:rsid w:val="001D3202"/>
    <w:rsid w:val="001D779C"/>
    <w:rsid w:val="001E0C0C"/>
    <w:rsid w:val="001E12F9"/>
    <w:rsid w:val="001E3AAE"/>
    <w:rsid w:val="001E728A"/>
    <w:rsid w:val="001E75A7"/>
    <w:rsid w:val="001F03FC"/>
    <w:rsid w:val="001F112E"/>
    <w:rsid w:val="001F1ED6"/>
    <w:rsid w:val="001F237C"/>
    <w:rsid w:val="001F64A3"/>
    <w:rsid w:val="00200E5B"/>
    <w:rsid w:val="00201C77"/>
    <w:rsid w:val="002025E3"/>
    <w:rsid w:val="00203CB7"/>
    <w:rsid w:val="002050B5"/>
    <w:rsid w:val="00205943"/>
    <w:rsid w:val="00206A76"/>
    <w:rsid w:val="00211753"/>
    <w:rsid w:val="002119CE"/>
    <w:rsid w:val="0022104D"/>
    <w:rsid w:val="002211A0"/>
    <w:rsid w:val="00222EE9"/>
    <w:rsid w:val="002263F3"/>
    <w:rsid w:val="00226854"/>
    <w:rsid w:val="00230571"/>
    <w:rsid w:val="00230CD7"/>
    <w:rsid w:val="00231BF6"/>
    <w:rsid w:val="002320D3"/>
    <w:rsid w:val="00232ACB"/>
    <w:rsid w:val="00232FF0"/>
    <w:rsid w:val="00233813"/>
    <w:rsid w:val="0023595D"/>
    <w:rsid w:val="00236339"/>
    <w:rsid w:val="002373C7"/>
    <w:rsid w:val="00245621"/>
    <w:rsid w:val="00246812"/>
    <w:rsid w:val="0024754F"/>
    <w:rsid w:val="00247F5D"/>
    <w:rsid w:val="0025462E"/>
    <w:rsid w:val="00254891"/>
    <w:rsid w:val="002553EC"/>
    <w:rsid w:val="00257771"/>
    <w:rsid w:val="0026022E"/>
    <w:rsid w:val="00262EFE"/>
    <w:rsid w:val="0026498F"/>
    <w:rsid w:val="00265834"/>
    <w:rsid w:val="00266479"/>
    <w:rsid w:val="002673DD"/>
    <w:rsid w:val="0027420B"/>
    <w:rsid w:val="00274971"/>
    <w:rsid w:val="002749A6"/>
    <w:rsid w:val="00275BD1"/>
    <w:rsid w:val="00275C16"/>
    <w:rsid w:val="002762C9"/>
    <w:rsid w:val="00276E28"/>
    <w:rsid w:val="00280740"/>
    <w:rsid w:val="00280F1A"/>
    <w:rsid w:val="00283039"/>
    <w:rsid w:val="00284EDD"/>
    <w:rsid w:val="00285A84"/>
    <w:rsid w:val="0028673D"/>
    <w:rsid w:val="00286EF1"/>
    <w:rsid w:val="00287EB3"/>
    <w:rsid w:val="002921C7"/>
    <w:rsid w:val="00292DA0"/>
    <w:rsid w:val="002949E7"/>
    <w:rsid w:val="00295405"/>
    <w:rsid w:val="0029588B"/>
    <w:rsid w:val="002960E2"/>
    <w:rsid w:val="002A1722"/>
    <w:rsid w:val="002A3004"/>
    <w:rsid w:val="002A3E1A"/>
    <w:rsid w:val="002A427C"/>
    <w:rsid w:val="002A46C8"/>
    <w:rsid w:val="002A52FA"/>
    <w:rsid w:val="002A5771"/>
    <w:rsid w:val="002B1BDB"/>
    <w:rsid w:val="002B41A6"/>
    <w:rsid w:val="002B4297"/>
    <w:rsid w:val="002B7150"/>
    <w:rsid w:val="002C08BF"/>
    <w:rsid w:val="002C0D43"/>
    <w:rsid w:val="002C3614"/>
    <w:rsid w:val="002C5F1C"/>
    <w:rsid w:val="002C6ECD"/>
    <w:rsid w:val="002C6F77"/>
    <w:rsid w:val="002D074B"/>
    <w:rsid w:val="002D0AA6"/>
    <w:rsid w:val="002D3773"/>
    <w:rsid w:val="002D39AE"/>
    <w:rsid w:val="002D5FA3"/>
    <w:rsid w:val="002D6959"/>
    <w:rsid w:val="002E0F55"/>
    <w:rsid w:val="002E356E"/>
    <w:rsid w:val="002E482C"/>
    <w:rsid w:val="002E568F"/>
    <w:rsid w:val="002E6854"/>
    <w:rsid w:val="002E709F"/>
    <w:rsid w:val="002F0DDF"/>
    <w:rsid w:val="002F1554"/>
    <w:rsid w:val="00300340"/>
    <w:rsid w:val="00300C9B"/>
    <w:rsid w:val="00301D73"/>
    <w:rsid w:val="00302C1D"/>
    <w:rsid w:val="003034C7"/>
    <w:rsid w:val="00304090"/>
    <w:rsid w:val="00304168"/>
    <w:rsid w:val="00304A6D"/>
    <w:rsid w:val="003055DE"/>
    <w:rsid w:val="00305E37"/>
    <w:rsid w:val="00306835"/>
    <w:rsid w:val="00306993"/>
    <w:rsid w:val="00306FB5"/>
    <w:rsid w:val="00312CB9"/>
    <w:rsid w:val="00314E71"/>
    <w:rsid w:val="0031650A"/>
    <w:rsid w:val="0031671A"/>
    <w:rsid w:val="003202E4"/>
    <w:rsid w:val="00320562"/>
    <w:rsid w:val="00325EB6"/>
    <w:rsid w:val="00325EEB"/>
    <w:rsid w:val="00326425"/>
    <w:rsid w:val="00327755"/>
    <w:rsid w:val="003279D8"/>
    <w:rsid w:val="0033016C"/>
    <w:rsid w:val="003305AF"/>
    <w:rsid w:val="00330F76"/>
    <w:rsid w:val="00331614"/>
    <w:rsid w:val="00333E7D"/>
    <w:rsid w:val="0034009C"/>
    <w:rsid w:val="003417F1"/>
    <w:rsid w:val="00341C84"/>
    <w:rsid w:val="003426BA"/>
    <w:rsid w:val="00347B16"/>
    <w:rsid w:val="003518E5"/>
    <w:rsid w:val="00351A05"/>
    <w:rsid w:val="00352D59"/>
    <w:rsid w:val="00354DCA"/>
    <w:rsid w:val="003560D5"/>
    <w:rsid w:val="0035759A"/>
    <w:rsid w:val="00361ADF"/>
    <w:rsid w:val="00362D58"/>
    <w:rsid w:val="00363491"/>
    <w:rsid w:val="00363672"/>
    <w:rsid w:val="00365E04"/>
    <w:rsid w:val="00365E52"/>
    <w:rsid w:val="00367098"/>
    <w:rsid w:val="00367CE0"/>
    <w:rsid w:val="00372328"/>
    <w:rsid w:val="0037253E"/>
    <w:rsid w:val="00374022"/>
    <w:rsid w:val="00377C07"/>
    <w:rsid w:val="0038001C"/>
    <w:rsid w:val="00381172"/>
    <w:rsid w:val="003828AF"/>
    <w:rsid w:val="00385D52"/>
    <w:rsid w:val="00391057"/>
    <w:rsid w:val="00391D92"/>
    <w:rsid w:val="003932C0"/>
    <w:rsid w:val="00393479"/>
    <w:rsid w:val="00393917"/>
    <w:rsid w:val="003958A1"/>
    <w:rsid w:val="003A065F"/>
    <w:rsid w:val="003A1323"/>
    <w:rsid w:val="003A54B0"/>
    <w:rsid w:val="003B0125"/>
    <w:rsid w:val="003B0AE3"/>
    <w:rsid w:val="003B14FD"/>
    <w:rsid w:val="003B230C"/>
    <w:rsid w:val="003B26FD"/>
    <w:rsid w:val="003B6600"/>
    <w:rsid w:val="003B7E99"/>
    <w:rsid w:val="003C1C05"/>
    <w:rsid w:val="003C4E40"/>
    <w:rsid w:val="003D3FAB"/>
    <w:rsid w:val="003D4089"/>
    <w:rsid w:val="003D46BD"/>
    <w:rsid w:val="003D4A72"/>
    <w:rsid w:val="003D758E"/>
    <w:rsid w:val="003D7F29"/>
    <w:rsid w:val="003E12AA"/>
    <w:rsid w:val="003E14AB"/>
    <w:rsid w:val="003E1B03"/>
    <w:rsid w:val="003E23B9"/>
    <w:rsid w:val="003E3516"/>
    <w:rsid w:val="003E3BE8"/>
    <w:rsid w:val="003E407C"/>
    <w:rsid w:val="003E4635"/>
    <w:rsid w:val="003E4AB7"/>
    <w:rsid w:val="003E6C98"/>
    <w:rsid w:val="003E7180"/>
    <w:rsid w:val="003E72C6"/>
    <w:rsid w:val="003E77AA"/>
    <w:rsid w:val="003E7D36"/>
    <w:rsid w:val="003F097D"/>
    <w:rsid w:val="003F2019"/>
    <w:rsid w:val="003F2276"/>
    <w:rsid w:val="003F36E0"/>
    <w:rsid w:val="003F469E"/>
    <w:rsid w:val="003F604D"/>
    <w:rsid w:val="003F6AFE"/>
    <w:rsid w:val="00402042"/>
    <w:rsid w:val="00407E3D"/>
    <w:rsid w:val="004105BA"/>
    <w:rsid w:val="0041177A"/>
    <w:rsid w:val="004136F7"/>
    <w:rsid w:val="0041513D"/>
    <w:rsid w:val="0041575A"/>
    <w:rsid w:val="00416D7E"/>
    <w:rsid w:val="00417414"/>
    <w:rsid w:val="0042039B"/>
    <w:rsid w:val="0042044F"/>
    <w:rsid w:val="00421547"/>
    <w:rsid w:val="00421A73"/>
    <w:rsid w:val="00423138"/>
    <w:rsid w:val="00423843"/>
    <w:rsid w:val="00424E6C"/>
    <w:rsid w:val="0042530A"/>
    <w:rsid w:val="004256D7"/>
    <w:rsid w:val="00426164"/>
    <w:rsid w:val="004307FD"/>
    <w:rsid w:val="00430F42"/>
    <w:rsid w:val="0043174D"/>
    <w:rsid w:val="00432A1F"/>
    <w:rsid w:val="00432C07"/>
    <w:rsid w:val="004343AF"/>
    <w:rsid w:val="00434804"/>
    <w:rsid w:val="00434DA3"/>
    <w:rsid w:val="00435BFC"/>
    <w:rsid w:val="0043666B"/>
    <w:rsid w:val="00437A9B"/>
    <w:rsid w:val="00440054"/>
    <w:rsid w:val="004415D8"/>
    <w:rsid w:val="00442D1F"/>
    <w:rsid w:val="00443EFC"/>
    <w:rsid w:val="004456C4"/>
    <w:rsid w:val="00445A95"/>
    <w:rsid w:val="004461F0"/>
    <w:rsid w:val="0044625A"/>
    <w:rsid w:val="00446E9B"/>
    <w:rsid w:val="00447294"/>
    <w:rsid w:val="00451667"/>
    <w:rsid w:val="00454F85"/>
    <w:rsid w:val="004550DC"/>
    <w:rsid w:val="00455ACC"/>
    <w:rsid w:val="00456CB9"/>
    <w:rsid w:val="004603D0"/>
    <w:rsid w:val="0046137B"/>
    <w:rsid w:val="004631E9"/>
    <w:rsid w:val="004661B7"/>
    <w:rsid w:val="00466891"/>
    <w:rsid w:val="00472077"/>
    <w:rsid w:val="004721F7"/>
    <w:rsid w:val="00472844"/>
    <w:rsid w:val="004734B7"/>
    <w:rsid w:val="00473BE4"/>
    <w:rsid w:val="00474C1F"/>
    <w:rsid w:val="00475AF1"/>
    <w:rsid w:val="00475F4B"/>
    <w:rsid w:val="00476739"/>
    <w:rsid w:val="0048000C"/>
    <w:rsid w:val="0048159E"/>
    <w:rsid w:val="00484F83"/>
    <w:rsid w:val="00486C28"/>
    <w:rsid w:val="00490E73"/>
    <w:rsid w:val="00490F4D"/>
    <w:rsid w:val="00492B7B"/>
    <w:rsid w:val="00495235"/>
    <w:rsid w:val="00496576"/>
    <w:rsid w:val="004968EC"/>
    <w:rsid w:val="00497FF0"/>
    <w:rsid w:val="004A2DBB"/>
    <w:rsid w:val="004A36C5"/>
    <w:rsid w:val="004A4BF4"/>
    <w:rsid w:val="004A5709"/>
    <w:rsid w:val="004B2874"/>
    <w:rsid w:val="004B5CF0"/>
    <w:rsid w:val="004B6F72"/>
    <w:rsid w:val="004C0B99"/>
    <w:rsid w:val="004C0D5C"/>
    <w:rsid w:val="004C1E27"/>
    <w:rsid w:val="004C2F77"/>
    <w:rsid w:val="004C369E"/>
    <w:rsid w:val="004C3DC1"/>
    <w:rsid w:val="004C48E2"/>
    <w:rsid w:val="004C5DF4"/>
    <w:rsid w:val="004C65D2"/>
    <w:rsid w:val="004C669B"/>
    <w:rsid w:val="004C7DD2"/>
    <w:rsid w:val="004D0102"/>
    <w:rsid w:val="004D0F18"/>
    <w:rsid w:val="004D4025"/>
    <w:rsid w:val="004D5552"/>
    <w:rsid w:val="004D75C9"/>
    <w:rsid w:val="004E121B"/>
    <w:rsid w:val="004E17C4"/>
    <w:rsid w:val="004E23C6"/>
    <w:rsid w:val="004E2B17"/>
    <w:rsid w:val="004E5905"/>
    <w:rsid w:val="004E695A"/>
    <w:rsid w:val="004F0DA2"/>
    <w:rsid w:val="004F1D40"/>
    <w:rsid w:val="004F1E18"/>
    <w:rsid w:val="004F2CBB"/>
    <w:rsid w:val="004F39E3"/>
    <w:rsid w:val="004F6146"/>
    <w:rsid w:val="004F657B"/>
    <w:rsid w:val="004F6AD8"/>
    <w:rsid w:val="004F6F35"/>
    <w:rsid w:val="004F7271"/>
    <w:rsid w:val="005006C0"/>
    <w:rsid w:val="00500DB5"/>
    <w:rsid w:val="00501532"/>
    <w:rsid w:val="00501DDB"/>
    <w:rsid w:val="00504D3B"/>
    <w:rsid w:val="00504E6D"/>
    <w:rsid w:val="005067EC"/>
    <w:rsid w:val="0051035F"/>
    <w:rsid w:val="00512CE4"/>
    <w:rsid w:val="00515B31"/>
    <w:rsid w:val="00515E48"/>
    <w:rsid w:val="0051648F"/>
    <w:rsid w:val="00517BEB"/>
    <w:rsid w:val="005210E4"/>
    <w:rsid w:val="005214EB"/>
    <w:rsid w:val="005221D8"/>
    <w:rsid w:val="0052428C"/>
    <w:rsid w:val="005245D2"/>
    <w:rsid w:val="0052653B"/>
    <w:rsid w:val="00526B01"/>
    <w:rsid w:val="00531916"/>
    <w:rsid w:val="0053423B"/>
    <w:rsid w:val="00534C71"/>
    <w:rsid w:val="00536712"/>
    <w:rsid w:val="00537C40"/>
    <w:rsid w:val="00540671"/>
    <w:rsid w:val="005409B6"/>
    <w:rsid w:val="0054276B"/>
    <w:rsid w:val="00542794"/>
    <w:rsid w:val="00544A81"/>
    <w:rsid w:val="00545B43"/>
    <w:rsid w:val="00547813"/>
    <w:rsid w:val="0055160D"/>
    <w:rsid w:val="00553AF9"/>
    <w:rsid w:val="0055471E"/>
    <w:rsid w:val="00555CBE"/>
    <w:rsid w:val="00556853"/>
    <w:rsid w:val="00557927"/>
    <w:rsid w:val="00557D62"/>
    <w:rsid w:val="0056059B"/>
    <w:rsid w:val="00560A8F"/>
    <w:rsid w:val="00560E85"/>
    <w:rsid w:val="00561162"/>
    <w:rsid w:val="005616B2"/>
    <w:rsid w:val="00566BEB"/>
    <w:rsid w:val="005673D3"/>
    <w:rsid w:val="005708B6"/>
    <w:rsid w:val="005709E8"/>
    <w:rsid w:val="005711FC"/>
    <w:rsid w:val="005722A9"/>
    <w:rsid w:val="00572DC8"/>
    <w:rsid w:val="00572F12"/>
    <w:rsid w:val="005754C6"/>
    <w:rsid w:val="00575E4A"/>
    <w:rsid w:val="00577D3B"/>
    <w:rsid w:val="0058532F"/>
    <w:rsid w:val="00585528"/>
    <w:rsid w:val="00585984"/>
    <w:rsid w:val="005861B5"/>
    <w:rsid w:val="0058647B"/>
    <w:rsid w:val="0059026F"/>
    <w:rsid w:val="00590AA1"/>
    <w:rsid w:val="00591353"/>
    <w:rsid w:val="005940FD"/>
    <w:rsid w:val="0059436C"/>
    <w:rsid w:val="005955B1"/>
    <w:rsid w:val="00595B1B"/>
    <w:rsid w:val="005978BE"/>
    <w:rsid w:val="005A01CC"/>
    <w:rsid w:val="005A09A9"/>
    <w:rsid w:val="005A0C79"/>
    <w:rsid w:val="005A1DD5"/>
    <w:rsid w:val="005A565D"/>
    <w:rsid w:val="005A5933"/>
    <w:rsid w:val="005A5F68"/>
    <w:rsid w:val="005B098D"/>
    <w:rsid w:val="005B1D20"/>
    <w:rsid w:val="005B31C9"/>
    <w:rsid w:val="005B3619"/>
    <w:rsid w:val="005B53BE"/>
    <w:rsid w:val="005B6131"/>
    <w:rsid w:val="005C1591"/>
    <w:rsid w:val="005C1754"/>
    <w:rsid w:val="005C2C86"/>
    <w:rsid w:val="005C386C"/>
    <w:rsid w:val="005C52A4"/>
    <w:rsid w:val="005C5BA7"/>
    <w:rsid w:val="005C70B2"/>
    <w:rsid w:val="005D06DB"/>
    <w:rsid w:val="005D4300"/>
    <w:rsid w:val="005D6114"/>
    <w:rsid w:val="005D61CE"/>
    <w:rsid w:val="005D70D6"/>
    <w:rsid w:val="005D7995"/>
    <w:rsid w:val="005E13E6"/>
    <w:rsid w:val="005E27A6"/>
    <w:rsid w:val="005E2855"/>
    <w:rsid w:val="005E45AF"/>
    <w:rsid w:val="005E5D6C"/>
    <w:rsid w:val="005E5F0F"/>
    <w:rsid w:val="005E6332"/>
    <w:rsid w:val="005E65C7"/>
    <w:rsid w:val="005F0F7F"/>
    <w:rsid w:val="005F51DD"/>
    <w:rsid w:val="005F72C6"/>
    <w:rsid w:val="005F7FB5"/>
    <w:rsid w:val="00601840"/>
    <w:rsid w:val="00602092"/>
    <w:rsid w:val="0060279B"/>
    <w:rsid w:val="00602890"/>
    <w:rsid w:val="006029F6"/>
    <w:rsid w:val="00603A0B"/>
    <w:rsid w:val="0060495D"/>
    <w:rsid w:val="00605A4B"/>
    <w:rsid w:val="00606039"/>
    <w:rsid w:val="00610EE2"/>
    <w:rsid w:val="006120DA"/>
    <w:rsid w:val="00613A50"/>
    <w:rsid w:val="00613F32"/>
    <w:rsid w:val="00615E44"/>
    <w:rsid w:val="00616ADC"/>
    <w:rsid w:val="00617540"/>
    <w:rsid w:val="00620D68"/>
    <w:rsid w:val="00622AB2"/>
    <w:rsid w:val="00622CA3"/>
    <w:rsid w:val="00622EF7"/>
    <w:rsid w:val="00622F6C"/>
    <w:rsid w:val="006234CC"/>
    <w:rsid w:val="00623826"/>
    <w:rsid w:val="00625DAB"/>
    <w:rsid w:val="00625DE0"/>
    <w:rsid w:val="00630FF2"/>
    <w:rsid w:val="0063100C"/>
    <w:rsid w:val="00632290"/>
    <w:rsid w:val="0063488A"/>
    <w:rsid w:val="00634A99"/>
    <w:rsid w:val="00635824"/>
    <w:rsid w:val="006364B5"/>
    <w:rsid w:val="006372EA"/>
    <w:rsid w:val="006373FD"/>
    <w:rsid w:val="006374EF"/>
    <w:rsid w:val="00641161"/>
    <w:rsid w:val="0064337A"/>
    <w:rsid w:val="00644634"/>
    <w:rsid w:val="006446D6"/>
    <w:rsid w:val="00645C2E"/>
    <w:rsid w:val="00645E3F"/>
    <w:rsid w:val="006462B5"/>
    <w:rsid w:val="0065041A"/>
    <w:rsid w:val="00650CB6"/>
    <w:rsid w:val="006515D0"/>
    <w:rsid w:val="006519BB"/>
    <w:rsid w:val="00652816"/>
    <w:rsid w:val="00652CEB"/>
    <w:rsid w:val="0065364C"/>
    <w:rsid w:val="0065372A"/>
    <w:rsid w:val="00653A2C"/>
    <w:rsid w:val="00653D3E"/>
    <w:rsid w:val="00654BDA"/>
    <w:rsid w:val="00654EA0"/>
    <w:rsid w:val="0065562B"/>
    <w:rsid w:val="006559C7"/>
    <w:rsid w:val="00655C17"/>
    <w:rsid w:val="00656138"/>
    <w:rsid w:val="00657B7E"/>
    <w:rsid w:val="00657F74"/>
    <w:rsid w:val="00660FD0"/>
    <w:rsid w:val="00661906"/>
    <w:rsid w:val="00663796"/>
    <w:rsid w:val="006639AF"/>
    <w:rsid w:val="00665E78"/>
    <w:rsid w:val="006662A6"/>
    <w:rsid w:val="006670FC"/>
    <w:rsid w:val="00674490"/>
    <w:rsid w:val="00675AC0"/>
    <w:rsid w:val="00676AD5"/>
    <w:rsid w:val="00677E7B"/>
    <w:rsid w:val="00680487"/>
    <w:rsid w:val="00681008"/>
    <w:rsid w:val="0068390E"/>
    <w:rsid w:val="00691F6A"/>
    <w:rsid w:val="00692AE3"/>
    <w:rsid w:val="0069315C"/>
    <w:rsid w:val="006968B7"/>
    <w:rsid w:val="006970F3"/>
    <w:rsid w:val="006973D3"/>
    <w:rsid w:val="00697E9C"/>
    <w:rsid w:val="006A064D"/>
    <w:rsid w:val="006A071A"/>
    <w:rsid w:val="006A095F"/>
    <w:rsid w:val="006A0BF8"/>
    <w:rsid w:val="006A0CCD"/>
    <w:rsid w:val="006A31F1"/>
    <w:rsid w:val="006A4912"/>
    <w:rsid w:val="006A4E66"/>
    <w:rsid w:val="006A6281"/>
    <w:rsid w:val="006A7F56"/>
    <w:rsid w:val="006B4969"/>
    <w:rsid w:val="006B6BD0"/>
    <w:rsid w:val="006B7292"/>
    <w:rsid w:val="006B75B5"/>
    <w:rsid w:val="006C201B"/>
    <w:rsid w:val="006C22F4"/>
    <w:rsid w:val="006C4050"/>
    <w:rsid w:val="006C40A4"/>
    <w:rsid w:val="006C4EB7"/>
    <w:rsid w:val="006C641D"/>
    <w:rsid w:val="006C67FF"/>
    <w:rsid w:val="006C707C"/>
    <w:rsid w:val="006D090D"/>
    <w:rsid w:val="006D0930"/>
    <w:rsid w:val="006D17FB"/>
    <w:rsid w:val="006D1F9E"/>
    <w:rsid w:val="006D3949"/>
    <w:rsid w:val="006D430E"/>
    <w:rsid w:val="006D5964"/>
    <w:rsid w:val="006D69FE"/>
    <w:rsid w:val="006E13CC"/>
    <w:rsid w:val="006E2040"/>
    <w:rsid w:val="006E4961"/>
    <w:rsid w:val="006E6339"/>
    <w:rsid w:val="006E6BE0"/>
    <w:rsid w:val="006E7BB5"/>
    <w:rsid w:val="006F02FE"/>
    <w:rsid w:val="006F0675"/>
    <w:rsid w:val="006F1275"/>
    <w:rsid w:val="006F2B47"/>
    <w:rsid w:val="006F481D"/>
    <w:rsid w:val="006F500C"/>
    <w:rsid w:val="006F57BF"/>
    <w:rsid w:val="006F5BC9"/>
    <w:rsid w:val="006F6E71"/>
    <w:rsid w:val="00702E08"/>
    <w:rsid w:val="00704496"/>
    <w:rsid w:val="00710D4D"/>
    <w:rsid w:val="00714862"/>
    <w:rsid w:val="007155C5"/>
    <w:rsid w:val="0071698C"/>
    <w:rsid w:val="0072086C"/>
    <w:rsid w:val="007233EF"/>
    <w:rsid w:val="00726448"/>
    <w:rsid w:val="0072693A"/>
    <w:rsid w:val="00727F83"/>
    <w:rsid w:val="00730331"/>
    <w:rsid w:val="007303A7"/>
    <w:rsid w:val="00731D5F"/>
    <w:rsid w:val="00731E9E"/>
    <w:rsid w:val="007344DF"/>
    <w:rsid w:val="00734A79"/>
    <w:rsid w:val="00734EEF"/>
    <w:rsid w:val="0073799A"/>
    <w:rsid w:val="0074055B"/>
    <w:rsid w:val="00741C48"/>
    <w:rsid w:val="00743006"/>
    <w:rsid w:val="00743295"/>
    <w:rsid w:val="007466D0"/>
    <w:rsid w:val="007513CE"/>
    <w:rsid w:val="00751A2A"/>
    <w:rsid w:val="00752681"/>
    <w:rsid w:val="00753535"/>
    <w:rsid w:val="00754FEF"/>
    <w:rsid w:val="00754FF4"/>
    <w:rsid w:val="007565BE"/>
    <w:rsid w:val="00757285"/>
    <w:rsid w:val="0076030A"/>
    <w:rsid w:val="00765A31"/>
    <w:rsid w:val="00766670"/>
    <w:rsid w:val="00767447"/>
    <w:rsid w:val="0077094B"/>
    <w:rsid w:val="00770CF7"/>
    <w:rsid w:val="00770D0A"/>
    <w:rsid w:val="007737C9"/>
    <w:rsid w:val="007752F9"/>
    <w:rsid w:val="007759B2"/>
    <w:rsid w:val="0078123D"/>
    <w:rsid w:val="0078245E"/>
    <w:rsid w:val="007832D8"/>
    <w:rsid w:val="007835D8"/>
    <w:rsid w:val="007838A1"/>
    <w:rsid w:val="00783978"/>
    <w:rsid w:val="00783BE9"/>
    <w:rsid w:val="00784A5B"/>
    <w:rsid w:val="00786703"/>
    <w:rsid w:val="007875A3"/>
    <w:rsid w:val="00790D86"/>
    <w:rsid w:val="0079314C"/>
    <w:rsid w:val="007A23FD"/>
    <w:rsid w:val="007A3110"/>
    <w:rsid w:val="007A4553"/>
    <w:rsid w:val="007A4E4B"/>
    <w:rsid w:val="007A6839"/>
    <w:rsid w:val="007B16DC"/>
    <w:rsid w:val="007B4D2F"/>
    <w:rsid w:val="007C0F52"/>
    <w:rsid w:val="007C4C4A"/>
    <w:rsid w:val="007C65F8"/>
    <w:rsid w:val="007C65FE"/>
    <w:rsid w:val="007C700D"/>
    <w:rsid w:val="007C7287"/>
    <w:rsid w:val="007C7B62"/>
    <w:rsid w:val="007D049A"/>
    <w:rsid w:val="007D0BBD"/>
    <w:rsid w:val="007E022E"/>
    <w:rsid w:val="007E1E4E"/>
    <w:rsid w:val="007E25D4"/>
    <w:rsid w:val="007E2FD7"/>
    <w:rsid w:val="007E3196"/>
    <w:rsid w:val="007E5888"/>
    <w:rsid w:val="007E5C82"/>
    <w:rsid w:val="007E74C9"/>
    <w:rsid w:val="007E7624"/>
    <w:rsid w:val="007F0871"/>
    <w:rsid w:val="007F26B9"/>
    <w:rsid w:val="007F5DE0"/>
    <w:rsid w:val="007F6A83"/>
    <w:rsid w:val="00800C8E"/>
    <w:rsid w:val="008026F0"/>
    <w:rsid w:val="008028A4"/>
    <w:rsid w:val="008056F6"/>
    <w:rsid w:val="00805B73"/>
    <w:rsid w:val="00810074"/>
    <w:rsid w:val="0081094E"/>
    <w:rsid w:val="00814A59"/>
    <w:rsid w:val="00814AE1"/>
    <w:rsid w:val="00820651"/>
    <w:rsid w:val="00823FF7"/>
    <w:rsid w:val="008252B8"/>
    <w:rsid w:val="00832524"/>
    <w:rsid w:val="00832DA2"/>
    <w:rsid w:val="008331D8"/>
    <w:rsid w:val="00836294"/>
    <w:rsid w:val="0083668F"/>
    <w:rsid w:val="00837160"/>
    <w:rsid w:val="00840258"/>
    <w:rsid w:val="00841A8F"/>
    <w:rsid w:val="00841BE0"/>
    <w:rsid w:val="00842AB7"/>
    <w:rsid w:val="00845093"/>
    <w:rsid w:val="00845EB9"/>
    <w:rsid w:val="00846316"/>
    <w:rsid w:val="00847BBA"/>
    <w:rsid w:val="00850CAB"/>
    <w:rsid w:val="008528EB"/>
    <w:rsid w:val="0085413D"/>
    <w:rsid w:val="00854454"/>
    <w:rsid w:val="00856335"/>
    <w:rsid w:val="00861E1A"/>
    <w:rsid w:val="0086224A"/>
    <w:rsid w:val="00862759"/>
    <w:rsid w:val="008639E5"/>
    <w:rsid w:val="0086660A"/>
    <w:rsid w:val="00870909"/>
    <w:rsid w:val="00871483"/>
    <w:rsid w:val="00871C21"/>
    <w:rsid w:val="00872E51"/>
    <w:rsid w:val="008735DB"/>
    <w:rsid w:val="0087376E"/>
    <w:rsid w:val="0087395B"/>
    <w:rsid w:val="00873F92"/>
    <w:rsid w:val="00875E9C"/>
    <w:rsid w:val="00876225"/>
    <w:rsid w:val="008767EF"/>
    <w:rsid w:val="00876A12"/>
    <w:rsid w:val="00877367"/>
    <w:rsid w:val="00883030"/>
    <w:rsid w:val="00884DEA"/>
    <w:rsid w:val="00887066"/>
    <w:rsid w:val="00890C5F"/>
    <w:rsid w:val="00892CBB"/>
    <w:rsid w:val="00892E78"/>
    <w:rsid w:val="0089321D"/>
    <w:rsid w:val="00894E43"/>
    <w:rsid w:val="008975CD"/>
    <w:rsid w:val="00897654"/>
    <w:rsid w:val="008A19AF"/>
    <w:rsid w:val="008A1C80"/>
    <w:rsid w:val="008A3AB7"/>
    <w:rsid w:val="008A4838"/>
    <w:rsid w:val="008A4888"/>
    <w:rsid w:val="008A6BA2"/>
    <w:rsid w:val="008A70D4"/>
    <w:rsid w:val="008B1B0F"/>
    <w:rsid w:val="008B1CC0"/>
    <w:rsid w:val="008B20FD"/>
    <w:rsid w:val="008B2879"/>
    <w:rsid w:val="008B34A2"/>
    <w:rsid w:val="008B4426"/>
    <w:rsid w:val="008B448A"/>
    <w:rsid w:val="008B5F54"/>
    <w:rsid w:val="008B68BA"/>
    <w:rsid w:val="008C483C"/>
    <w:rsid w:val="008C5E46"/>
    <w:rsid w:val="008C64C5"/>
    <w:rsid w:val="008C6A2B"/>
    <w:rsid w:val="008D12DC"/>
    <w:rsid w:val="008D3AF1"/>
    <w:rsid w:val="008D3F70"/>
    <w:rsid w:val="008D5F88"/>
    <w:rsid w:val="008D692C"/>
    <w:rsid w:val="008E0416"/>
    <w:rsid w:val="008E091F"/>
    <w:rsid w:val="008E0D85"/>
    <w:rsid w:val="008E0DB6"/>
    <w:rsid w:val="008E2640"/>
    <w:rsid w:val="008E29AE"/>
    <w:rsid w:val="008E33E2"/>
    <w:rsid w:val="008E34CD"/>
    <w:rsid w:val="008E4406"/>
    <w:rsid w:val="008E66B8"/>
    <w:rsid w:val="008E7246"/>
    <w:rsid w:val="008F2156"/>
    <w:rsid w:val="008F3370"/>
    <w:rsid w:val="008F5294"/>
    <w:rsid w:val="008F6044"/>
    <w:rsid w:val="00900358"/>
    <w:rsid w:val="00900472"/>
    <w:rsid w:val="00900EC4"/>
    <w:rsid w:val="00901883"/>
    <w:rsid w:val="009026B2"/>
    <w:rsid w:val="00904237"/>
    <w:rsid w:val="00904BF2"/>
    <w:rsid w:val="00905C13"/>
    <w:rsid w:val="009129AB"/>
    <w:rsid w:val="00913E86"/>
    <w:rsid w:val="009158C8"/>
    <w:rsid w:val="009158FC"/>
    <w:rsid w:val="009204E0"/>
    <w:rsid w:val="00920C06"/>
    <w:rsid w:val="009213D3"/>
    <w:rsid w:val="00922C85"/>
    <w:rsid w:val="00923FC2"/>
    <w:rsid w:val="00924913"/>
    <w:rsid w:val="009262F4"/>
    <w:rsid w:val="00926536"/>
    <w:rsid w:val="00930C1D"/>
    <w:rsid w:val="0093196B"/>
    <w:rsid w:val="00933518"/>
    <w:rsid w:val="00934BA1"/>
    <w:rsid w:val="00934BE7"/>
    <w:rsid w:val="009377F0"/>
    <w:rsid w:val="00937F5E"/>
    <w:rsid w:val="00942599"/>
    <w:rsid w:val="009436EF"/>
    <w:rsid w:val="00945292"/>
    <w:rsid w:val="00945A00"/>
    <w:rsid w:val="00953F22"/>
    <w:rsid w:val="00956955"/>
    <w:rsid w:val="00957B51"/>
    <w:rsid w:val="00960C21"/>
    <w:rsid w:val="00963E94"/>
    <w:rsid w:val="00964E23"/>
    <w:rsid w:val="00965F66"/>
    <w:rsid w:val="009679D0"/>
    <w:rsid w:val="0097001F"/>
    <w:rsid w:val="00972170"/>
    <w:rsid w:val="0097226B"/>
    <w:rsid w:val="00974BA2"/>
    <w:rsid w:val="00975F94"/>
    <w:rsid w:val="009804D4"/>
    <w:rsid w:val="009805BC"/>
    <w:rsid w:val="00980A40"/>
    <w:rsid w:val="00983BB3"/>
    <w:rsid w:val="0098471D"/>
    <w:rsid w:val="00985C88"/>
    <w:rsid w:val="00985EFD"/>
    <w:rsid w:val="00987431"/>
    <w:rsid w:val="0098788F"/>
    <w:rsid w:val="00987A36"/>
    <w:rsid w:val="00994F5E"/>
    <w:rsid w:val="009A0F80"/>
    <w:rsid w:val="009A1052"/>
    <w:rsid w:val="009A1CCA"/>
    <w:rsid w:val="009A2E59"/>
    <w:rsid w:val="009A4E42"/>
    <w:rsid w:val="009A66A3"/>
    <w:rsid w:val="009B1989"/>
    <w:rsid w:val="009B1B34"/>
    <w:rsid w:val="009B4202"/>
    <w:rsid w:val="009B6727"/>
    <w:rsid w:val="009C0657"/>
    <w:rsid w:val="009C2139"/>
    <w:rsid w:val="009C22AC"/>
    <w:rsid w:val="009C38E7"/>
    <w:rsid w:val="009C3D76"/>
    <w:rsid w:val="009C4033"/>
    <w:rsid w:val="009C61BA"/>
    <w:rsid w:val="009D7B70"/>
    <w:rsid w:val="009E03A0"/>
    <w:rsid w:val="009E0634"/>
    <w:rsid w:val="009E105C"/>
    <w:rsid w:val="009E2CCF"/>
    <w:rsid w:val="009E30E9"/>
    <w:rsid w:val="009E415E"/>
    <w:rsid w:val="009E4A88"/>
    <w:rsid w:val="009E4E6B"/>
    <w:rsid w:val="009E5184"/>
    <w:rsid w:val="009E5753"/>
    <w:rsid w:val="009E6814"/>
    <w:rsid w:val="009E75CD"/>
    <w:rsid w:val="009E7B7D"/>
    <w:rsid w:val="009F0446"/>
    <w:rsid w:val="009F1BB6"/>
    <w:rsid w:val="009F3AA0"/>
    <w:rsid w:val="009F3CC4"/>
    <w:rsid w:val="009F4488"/>
    <w:rsid w:val="009F5C7E"/>
    <w:rsid w:val="009F65C1"/>
    <w:rsid w:val="009F6949"/>
    <w:rsid w:val="009F7C59"/>
    <w:rsid w:val="009F7D25"/>
    <w:rsid w:val="00A0110F"/>
    <w:rsid w:val="00A01C0A"/>
    <w:rsid w:val="00A034E0"/>
    <w:rsid w:val="00A065C9"/>
    <w:rsid w:val="00A13719"/>
    <w:rsid w:val="00A14572"/>
    <w:rsid w:val="00A1513E"/>
    <w:rsid w:val="00A16F2A"/>
    <w:rsid w:val="00A2054B"/>
    <w:rsid w:val="00A21418"/>
    <w:rsid w:val="00A23CCF"/>
    <w:rsid w:val="00A24E37"/>
    <w:rsid w:val="00A255A0"/>
    <w:rsid w:val="00A25DC2"/>
    <w:rsid w:val="00A266B5"/>
    <w:rsid w:val="00A3022F"/>
    <w:rsid w:val="00A310A6"/>
    <w:rsid w:val="00A31DB3"/>
    <w:rsid w:val="00A32CD1"/>
    <w:rsid w:val="00A33D6A"/>
    <w:rsid w:val="00A340A1"/>
    <w:rsid w:val="00A34629"/>
    <w:rsid w:val="00A37DAB"/>
    <w:rsid w:val="00A418CB"/>
    <w:rsid w:val="00A431B2"/>
    <w:rsid w:val="00A44B32"/>
    <w:rsid w:val="00A45F0E"/>
    <w:rsid w:val="00A4701F"/>
    <w:rsid w:val="00A50C9C"/>
    <w:rsid w:val="00A51565"/>
    <w:rsid w:val="00A51D5C"/>
    <w:rsid w:val="00A54746"/>
    <w:rsid w:val="00A55CDC"/>
    <w:rsid w:val="00A56394"/>
    <w:rsid w:val="00A56969"/>
    <w:rsid w:val="00A60655"/>
    <w:rsid w:val="00A60BAB"/>
    <w:rsid w:val="00A641C4"/>
    <w:rsid w:val="00A6537F"/>
    <w:rsid w:val="00A65A18"/>
    <w:rsid w:val="00A67630"/>
    <w:rsid w:val="00A737F7"/>
    <w:rsid w:val="00A7559F"/>
    <w:rsid w:val="00A761A7"/>
    <w:rsid w:val="00A76CE3"/>
    <w:rsid w:val="00A77E89"/>
    <w:rsid w:val="00A8040A"/>
    <w:rsid w:val="00A80E79"/>
    <w:rsid w:val="00A81DBC"/>
    <w:rsid w:val="00A82CC3"/>
    <w:rsid w:val="00A851B5"/>
    <w:rsid w:val="00A87344"/>
    <w:rsid w:val="00A90324"/>
    <w:rsid w:val="00A90C94"/>
    <w:rsid w:val="00A92740"/>
    <w:rsid w:val="00A93491"/>
    <w:rsid w:val="00A96670"/>
    <w:rsid w:val="00A96773"/>
    <w:rsid w:val="00A9691B"/>
    <w:rsid w:val="00AA05D1"/>
    <w:rsid w:val="00AA28B5"/>
    <w:rsid w:val="00AB2F3E"/>
    <w:rsid w:val="00AB4C1D"/>
    <w:rsid w:val="00AB6F6C"/>
    <w:rsid w:val="00AC08CF"/>
    <w:rsid w:val="00AC14E9"/>
    <w:rsid w:val="00AC1C6C"/>
    <w:rsid w:val="00AC34AA"/>
    <w:rsid w:val="00AC3BAC"/>
    <w:rsid w:val="00AC54A5"/>
    <w:rsid w:val="00AC5A74"/>
    <w:rsid w:val="00AC6053"/>
    <w:rsid w:val="00AC71A7"/>
    <w:rsid w:val="00AC7DFA"/>
    <w:rsid w:val="00AD1E57"/>
    <w:rsid w:val="00AD3E60"/>
    <w:rsid w:val="00AD4FBE"/>
    <w:rsid w:val="00AD59BB"/>
    <w:rsid w:val="00AD66A8"/>
    <w:rsid w:val="00AE0D16"/>
    <w:rsid w:val="00AE10C8"/>
    <w:rsid w:val="00AE2004"/>
    <w:rsid w:val="00AE6217"/>
    <w:rsid w:val="00AF0601"/>
    <w:rsid w:val="00AF0C56"/>
    <w:rsid w:val="00AF182B"/>
    <w:rsid w:val="00AF2C86"/>
    <w:rsid w:val="00AF59AC"/>
    <w:rsid w:val="00B007F9"/>
    <w:rsid w:val="00B019E2"/>
    <w:rsid w:val="00B03244"/>
    <w:rsid w:val="00B043A7"/>
    <w:rsid w:val="00B05A7C"/>
    <w:rsid w:val="00B05B6B"/>
    <w:rsid w:val="00B06097"/>
    <w:rsid w:val="00B06C77"/>
    <w:rsid w:val="00B074CA"/>
    <w:rsid w:val="00B0794C"/>
    <w:rsid w:val="00B12F92"/>
    <w:rsid w:val="00B14200"/>
    <w:rsid w:val="00B16A37"/>
    <w:rsid w:val="00B175E7"/>
    <w:rsid w:val="00B21E31"/>
    <w:rsid w:val="00B24C82"/>
    <w:rsid w:val="00B24E4F"/>
    <w:rsid w:val="00B262AF"/>
    <w:rsid w:val="00B26449"/>
    <w:rsid w:val="00B26756"/>
    <w:rsid w:val="00B31C82"/>
    <w:rsid w:val="00B33E22"/>
    <w:rsid w:val="00B35D48"/>
    <w:rsid w:val="00B36FD3"/>
    <w:rsid w:val="00B3764B"/>
    <w:rsid w:val="00B37692"/>
    <w:rsid w:val="00B37E95"/>
    <w:rsid w:val="00B40F18"/>
    <w:rsid w:val="00B41042"/>
    <w:rsid w:val="00B41198"/>
    <w:rsid w:val="00B41378"/>
    <w:rsid w:val="00B4262A"/>
    <w:rsid w:val="00B4389E"/>
    <w:rsid w:val="00B4637A"/>
    <w:rsid w:val="00B46D32"/>
    <w:rsid w:val="00B50DA4"/>
    <w:rsid w:val="00B52D19"/>
    <w:rsid w:val="00B53BB8"/>
    <w:rsid w:val="00B55005"/>
    <w:rsid w:val="00B647FE"/>
    <w:rsid w:val="00B64B97"/>
    <w:rsid w:val="00B679AF"/>
    <w:rsid w:val="00B67AE9"/>
    <w:rsid w:val="00B704EC"/>
    <w:rsid w:val="00B7077E"/>
    <w:rsid w:val="00B70797"/>
    <w:rsid w:val="00B70C5E"/>
    <w:rsid w:val="00B71C7C"/>
    <w:rsid w:val="00B71F82"/>
    <w:rsid w:val="00B7219C"/>
    <w:rsid w:val="00B72EFB"/>
    <w:rsid w:val="00B7477D"/>
    <w:rsid w:val="00B75091"/>
    <w:rsid w:val="00B769F7"/>
    <w:rsid w:val="00B77E93"/>
    <w:rsid w:val="00B830B2"/>
    <w:rsid w:val="00B8513D"/>
    <w:rsid w:val="00B8723B"/>
    <w:rsid w:val="00B8764A"/>
    <w:rsid w:val="00B9157A"/>
    <w:rsid w:val="00B91679"/>
    <w:rsid w:val="00B91B34"/>
    <w:rsid w:val="00B91ED5"/>
    <w:rsid w:val="00B948AD"/>
    <w:rsid w:val="00B9617C"/>
    <w:rsid w:val="00BA144D"/>
    <w:rsid w:val="00BA1D54"/>
    <w:rsid w:val="00BA47BB"/>
    <w:rsid w:val="00BA4952"/>
    <w:rsid w:val="00BA4D87"/>
    <w:rsid w:val="00BA4E4B"/>
    <w:rsid w:val="00BA506D"/>
    <w:rsid w:val="00BA5504"/>
    <w:rsid w:val="00BA5AC5"/>
    <w:rsid w:val="00BA7164"/>
    <w:rsid w:val="00BB108C"/>
    <w:rsid w:val="00BB1978"/>
    <w:rsid w:val="00BB43CB"/>
    <w:rsid w:val="00BB47E1"/>
    <w:rsid w:val="00BB778D"/>
    <w:rsid w:val="00BC4FAE"/>
    <w:rsid w:val="00BD0716"/>
    <w:rsid w:val="00BD3873"/>
    <w:rsid w:val="00BD39A8"/>
    <w:rsid w:val="00BD454F"/>
    <w:rsid w:val="00BD53E0"/>
    <w:rsid w:val="00BD54FE"/>
    <w:rsid w:val="00BD6545"/>
    <w:rsid w:val="00BD6E93"/>
    <w:rsid w:val="00BD7E9C"/>
    <w:rsid w:val="00BE2471"/>
    <w:rsid w:val="00BE51AD"/>
    <w:rsid w:val="00BE617D"/>
    <w:rsid w:val="00BE672D"/>
    <w:rsid w:val="00BE6D72"/>
    <w:rsid w:val="00BF0012"/>
    <w:rsid w:val="00BF37E3"/>
    <w:rsid w:val="00BF5802"/>
    <w:rsid w:val="00C02CFE"/>
    <w:rsid w:val="00C04B45"/>
    <w:rsid w:val="00C05EE0"/>
    <w:rsid w:val="00C105B4"/>
    <w:rsid w:val="00C123FB"/>
    <w:rsid w:val="00C12578"/>
    <w:rsid w:val="00C130A5"/>
    <w:rsid w:val="00C130D3"/>
    <w:rsid w:val="00C148A8"/>
    <w:rsid w:val="00C15F8A"/>
    <w:rsid w:val="00C16349"/>
    <w:rsid w:val="00C174C2"/>
    <w:rsid w:val="00C20292"/>
    <w:rsid w:val="00C2189A"/>
    <w:rsid w:val="00C222D6"/>
    <w:rsid w:val="00C22410"/>
    <w:rsid w:val="00C23087"/>
    <w:rsid w:val="00C24BDF"/>
    <w:rsid w:val="00C2526D"/>
    <w:rsid w:val="00C262A6"/>
    <w:rsid w:val="00C26E22"/>
    <w:rsid w:val="00C272C1"/>
    <w:rsid w:val="00C32777"/>
    <w:rsid w:val="00C34055"/>
    <w:rsid w:val="00C344AA"/>
    <w:rsid w:val="00C35391"/>
    <w:rsid w:val="00C369AC"/>
    <w:rsid w:val="00C40AE5"/>
    <w:rsid w:val="00C44B08"/>
    <w:rsid w:val="00C45504"/>
    <w:rsid w:val="00C4751A"/>
    <w:rsid w:val="00C546AF"/>
    <w:rsid w:val="00C55565"/>
    <w:rsid w:val="00C61A3A"/>
    <w:rsid w:val="00C64310"/>
    <w:rsid w:val="00C64820"/>
    <w:rsid w:val="00C650E7"/>
    <w:rsid w:val="00C66E0D"/>
    <w:rsid w:val="00C70B3A"/>
    <w:rsid w:val="00C71407"/>
    <w:rsid w:val="00C71EE2"/>
    <w:rsid w:val="00C73496"/>
    <w:rsid w:val="00C7495F"/>
    <w:rsid w:val="00C74CDB"/>
    <w:rsid w:val="00C83E1A"/>
    <w:rsid w:val="00C854DB"/>
    <w:rsid w:val="00C86D23"/>
    <w:rsid w:val="00C87A94"/>
    <w:rsid w:val="00C90964"/>
    <w:rsid w:val="00C92991"/>
    <w:rsid w:val="00C92FED"/>
    <w:rsid w:val="00C947B9"/>
    <w:rsid w:val="00C96DD9"/>
    <w:rsid w:val="00CA37C7"/>
    <w:rsid w:val="00CA4521"/>
    <w:rsid w:val="00CA68B3"/>
    <w:rsid w:val="00CA730C"/>
    <w:rsid w:val="00CA7F20"/>
    <w:rsid w:val="00CB1023"/>
    <w:rsid w:val="00CB2EA9"/>
    <w:rsid w:val="00CB38F5"/>
    <w:rsid w:val="00CB4740"/>
    <w:rsid w:val="00CB5AB8"/>
    <w:rsid w:val="00CC05C5"/>
    <w:rsid w:val="00CC1015"/>
    <w:rsid w:val="00CC1CBE"/>
    <w:rsid w:val="00CC3B04"/>
    <w:rsid w:val="00CC3FB6"/>
    <w:rsid w:val="00CC40BF"/>
    <w:rsid w:val="00CC7019"/>
    <w:rsid w:val="00CD0F8D"/>
    <w:rsid w:val="00CD2B35"/>
    <w:rsid w:val="00CD456B"/>
    <w:rsid w:val="00CD485B"/>
    <w:rsid w:val="00CD5911"/>
    <w:rsid w:val="00CD629B"/>
    <w:rsid w:val="00CE0078"/>
    <w:rsid w:val="00CE240C"/>
    <w:rsid w:val="00CE459A"/>
    <w:rsid w:val="00CE4DB0"/>
    <w:rsid w:val="00CE50F1"/>
    <w:rsid w:val="00CE588C"/>
    <w:rsid w:val="00CE5B70"/>
    <w:rsid w:val="00CE5D10"/>
    <w:rsid w:val="00CE5D45"/>
    <w:rsid w:val="00CE5EE6"/>
    <w:rsid w:val="00CE6E4E"/>
    <w:rsid w:val="00CF3C23"/>
    <w:rsid w:val="00CF3FE6"/>
    <w:rsid w:val="00CF52A3"/>
    <w:rsid w:val="00CF571F"/>
    <w:rsid w:val="00CF7A29"/>
    <w:rsid w:val="00CF7C92"/>
    <w:rsid w:val="00D00C11"/>
    <w:rsid w:val="00D02AE8"/>
    <w:rsid w:val="00D042C8"/>
    <w:rsid w:val="00D0462B"/>
    <w:rsid w:val="00D04772"/>
    <w:rsid w:val="00D0615E"/>
    <w:rsid w:val="00D103A3"/>
    <w:rsid w:val="00D10F05"/>
    <w:rsid w:val="00D157FB"/>
    <w:rsid w:val="00D1595E"/>
    <w:rsid w:val="00D15DF8"/>
    <w:rsid w:val="00D17274"/>
    <w:rsid w:val="00D242F4"/>
    <w:rsid w:val="00D24514"/>
    <w:rsid w:val="00D2487A"/>
    <w:rsid w:val="00D25E7B"/>
    <w:rsid w:val="00D2606E"/>
    <w:rsid w:val="00D26CC8"/>
    <w:rsid w:val="00D27D00"/>
    <w:rsid w:val="00D27DAF"/>
    <w:rsid w:val="00D30BA2"/>
    <w:rsid w:val="00D32123"/>
    <w:rsid w:val="00D3269E"/>
    <w:rsid w:val="00D36F81"/>
    <w:rsid w:val="00D40A8D"/>
    <w:rsid w:val="00D417A9"/>
    <w:rsid w:val="00D42058"/>
    <w:rsid w:val="00D4221D"/>
    <w:rsid w:val="00D43CAA"/>
    <w:rsid w:val="00D43CCE"/>
    <w:rsid w:val="00D43DD6"/>
    <w:rsid w:val="00D44606"/>
    <w:rsid w:val="00D45510"/>
    <w:rsid w:val="00D478F8"/>
    <w:rsid w:val="00D47EFA"/>
    <w:rsid w:val="00D503C7"/>
    <w:rsid w:val="00D51210"/>
    <w:rsid w:val="00D528F1"/>
    <w:rsid w:val="00D5375D"/>
    <w:rsid w:val="00D53B41"/>
    <w:rsid w:val="00D5510B"/>
    <w:rsid w:val="00D55DE5"/>
    <w:rsid w:val="00D610BD"/>
    <w:rsid w:val="00D629D0"/>
    <w:rsid w:val="00D64A54"/>
    <w:rsid w:val="00D66976"/>
    <w:rsid w:val="00D67359"/>
    <w:rsid w:val="00D6749C"/>
    <w:rsid w:val="00D678FF"/>
    <w:rsid w:val="00D71FD6"/>
    <w:rsid w:val="00D723F2"/>
    <w:rsid w:val="00D847FE"/>
    <w:rsid w:val="00D871FF"/>
    <w:rsid w:val="00D87A9E"/>
    <w:rsid w:val="00D87CDD"/>
    <w:rsid w:val="00D90A20"/>
    <w:rsid w:val="00D9543A"/>
    <w:rsid w:val="00D974FB"/>
    <w:rsid w:val="00D97C25"/>
    <w:rsid w:val="00DA054A"/>
    <w:rsid w:val="00DA149A"/>
    <w:rsid w:val="00DA27E8"/>
    <w:rsid w:val="00DA55E2"/>
    <w:rsid w:val="00DA5F6B"/>
    <w:rsid w:val="00DB1341"/>
    <w:rsid w:val="00DB1785"/>
    <w:rsid w:val="00DB44D0"/>
    <w:rsid w:val="00DB52C9"/>
    <w:rsid w:val="00DB56D2"/>
    <w:rsid w:val="00DB6FF3"/>
    <w:rsid w:val="00DB7182"/>
    <w:rsid w:val="00DB7354"/>
    <w:rsid w:val="00DC026D"/>
    <w:rsid w:val="00DC14A2"/>
    <w:rsid w:val="00DC23EE"/>
    <w:rsid w:val="00DC2D0A"/>
    <w:rsid w:val="00DC6FF2"/>
    <w:rsid w:val="00DC7D3F"/>
    <w:rsid w:val="00DD1B4C"/>
    <w:rsid w:val="00DD1CA5"/>
    <w:rsid w:val="00DD4F12"/>
    <w:rsid w:val="00DD4F14"/>
    <w:rsid w:val="00DE1A4A"/>
    <w:rsid w:val="00DE2D3F"/>
    <w:rsid w:val="00DE4396"/>
    <w:rsid w:val="00DE49A5"/>
    <w:rsid w:val="00DE69E3"/>
    <w:rsid w:val="00DE7EC8"/>
    <w:rsid w:val="00DF122E"/>
    <w:rsid w:val="00DF27A4"/>
    <w:rsid w:val="00DF3F4F"/>
    <w:rsid w:val="00DF4994"/>
    <w:rsid w:val="00DF5460"/>
    <w:rsid w:val="00DF56CA"/>
    <w:rsid w:val="00DF5FF3"/>
    <w:rsid w:val="00E01B2B"/>
    <w:rsid w:val="00E02614"/>
    <w:rsid w:val="00E03B3D"/>
    <w:rsid w:val="00E07732"/>
    <w:rsid w:val="00E10E07"/>
    <w:rsid w:val="00E111C9"/>
    <w:rsid w:val="00E1121C"/>
    <w:rsid w:val="00E11EE3"/>
    <w:rsid w:val="00E20393"/>
    <w:rsid w:val="00E244AB"/>
    <w:rsid w:val="00E32208"/>
    <w:rsid w:val="00E32F2E"/>
    <w:rsid w:val="00E33EE4"/>
    <w:rsid w:val="00E34DDD"/>
    <w:rsid w:val="00E35043"/>
    <w:rsid w:val="00E37DA0"/>
    <w:rsid w:val="00E37F21"/>
    <w:rsid w:val="00E40F6C"/>
    <w:rsid w:val="00E431DB"/>
    <w:rsid w:val="00E44FD8"/>
    <w:rsid w:val="00E45CE2"/>
    <w:rsid w:val="00E46528"/>
    <w:rsid w:val="00E46C08"/>
    <w:rsid w:val="00E5043B"/>
    <w:rsid w:val="00E50489"/>
    <w:rsid w:val="00E50A1F"/>
    <w:rsid w:val="00E523CE"/>
    <w:rsid w:val="00E536AB"/>
    <w:rsid w:val="00E53A8A"/>
    <w:rsid w:val="00E559B5"/>
    <w:rsid w:val="00E56945"/>
    <w:rsid w:val="00E6177F"/>
    <w:rsid w:val="00E625EE"/>
    <w:rsid w:val="00E6307A"/>
    <w:rsid w:val="00E64287"/>
    <w:rsid w:val="00E64BDD"/>
    <w:rsid w:val="00E72A40"/>
    <w:rsid w:val="00E81448"/>
    <w:rsid w:val="00E817DB"/>
    <w:rsid w:val="00E82167"/>
    <w:rsid w:val="00E82E8E"/>
    <w:rsid w:val="00E83372"/>
    <w:rsid w:val="00E84638"/>
    <w:rsid w:val="00E846DE"/>
    <w:rsid w:val="00E85AFB"/>
    <w:rsid w:val="00E90EEE"/>
    <w:rsid w:val="00E918C4"/>
    <w:rsid w:val="00E91B8D"/>
    <w:rsid w:val="00E945DF"/>
    <w:rsid w:val="00E9586B"/>
    <w:rsid w:val="00E95D13"/>
    <w:rsid w:val="00EA167D"/>
    <w:rsid w:val="00EA338C"/>
    <w:rsid w:val="00EA5AAC"/>
    <w:rsid w:val="00EA5B36"/>
    <w:rsid w:val="00EA7E98"/>
    <w:rsid w:val="00EB3CD3"/>
    <w:rsid w:val="00EB41A2"/>
    <w:rsid w:val="00EB66F8"/>
    <w:rsid w:val="00EC161D"/>
    <w:rsid w:val="00EC4333"/>
    <w:rsid w:val="00EC5B13"/>
    <w:rsid w:val="00EC679C"/>
    <w:rsid w:val="00EC6A73"/>
    <w:rsid w:val="00EC7C2F"/>
    <w:rsid w:val="00ED14CD"/>
    <w:rsid w:val="00ED1707"/>
    <w:rsid w:val="00ED4CCB"/>
    <w:rsid w:val="00ED6E6E"/>
    <w:rsid w:val="00EE079C"/>
    <w:rsid w:val="00EE3DAD"/>
    <w:rsid w:val="00EE3DC8"/>
    <w:rsid w:val="00EE5AD2"/>
    <w:rsid w:val="00EE6688"/>
    <w:rsid w:val="00EE70B7"/>
    <w:rsid w:val="00EE7BD7"/>
    <w:rsid w:val="00EF0FEF"/>
    <w:rsid w:val="00EF3A94"/>
    <w:rsid w:val="00EF7A06"/>
    <w:rsid w:val="00F0153A"/>
    <w:rsid w:val="00F01D3C"/>
    <w:rsid w:val="00F01E76"/>
    <w:rsid w:val="00F04427"/>
    <w:rsid w:val="00F04BC3"/>
    <w:rsid w:val="00F05299"/>
    <w:rsid w:val="00F10587"/>
    <w:rsid w:val="00F10BC1"/>
    <w:rsid w:val="00F16A14"/>
    <w:rsid w:val="00F17A33"/>
    <w:rsid w:val="00F17D43"/>
    <w:rsid w:val="00F20B84"/>
    <w:rsid w:val="00F21167"/>
    <w:rsid w:val="00F213A3"/>
    <w:rsid w:val="00F22990"/>
    <w:rsid w:val="00F24787"/>
    <w:rsid w:val="00F274E8"/>
    <w:rsid w:val="00F278A5"/>
    <w:rsid w:val="00F30248"/>
    <w:rsid w:val="00F30BC7"/>
    <w:rsid w:val="00F3158E"/>
    <w:rsid w:val="00F325AC"/>
    <w:rsid w:val="00F33C30"/>
    <w:rsid w:val="00F37000"/>
    <w:rsid w:val="00F37630"/>
    <w:rsid w:val="00F40A68"/>
    <w:rsid w:val="00F417CA"/>
    <w:rsid w:val="00F42B67"/>
    <w:rsid w:val="00F43ED7"/>
    <w:rsid w:val="00F4489D"/>
    <w:rsid w:val="00F4536F"/>
    <w:rsid w:val="00F458D6"/>
    <w:rsid w:val="00F45BAC"/>
    <w:rsid w:val="00F475F5"/>
    <w:rsid w:val="00F47838"/>
    <w:rsid w:val="00F54259"/>
    <w:rsid w:val="00F55562"/>
    <w:rsid w:val="00F55DAF"/>
    <w:rsid w:val="00F5680C"/>
    <w:rsid w:val="00F57FA9"/>
    <w:rsid w:val="00F6024A"/>
    <w:rsid w:val="00F6041D"/>
    <w:rsid w:val="00F62914"/>
    <w:rsid w:val="00F63F51"/>
    <w:rsid w:val="00F6497D"/>
    <w:rsid w:val="00F65EF7"/>
    <w:rsid w:val="00F709C8"/>
    <w:rsid w:val="00F715E7"/>
    <w:rsid w:val="00F73984"/>
    <w:rsid w:val="00F743DB"/>
    <w:rsid w:val="00F74A31"/>
    <w:rsid w:val="00F7785C"/>
    <w:rsid w:val="00F80166"/>
    <w:rsid w:val="00F834DE"/>
    <w:rsid w:val="00F83AC5"/>
    <w:rsid w:val="00F83B40"/>
    <w:rsid w:val="00F83B7F"/>
    <w:rsid w:val="00F8602F"/>
    <w:rsid w:val="00F90525"/>
    <w:rsid w:val="00F9124D"/>
    <w:rsid w:val="00F95920"/>
    <w:rsid w:val="00F9743F"/>
    <w:rsid w:val="00FA118B"/>
    <w:rsid w:val="00FA1CEA"/>
    <w:rsid w:val="00FA210D"/>
    <w:rsid w:val="00FA40BF"/>
    <w:rsid w:val="00FA538D"/>
    <w:rsid w:val="00FA5EB1"/>
    <w:rsid w:val="00FA610F"/>
    <w:rsid w:val="00FA714A"/>
    <w:rsid w:val="00FB03A5"/>
    <w:rsid w:val="00FB24F7"/>
    <w:rsid w:val="00FB421A"/>
    <w:rsid w:val="00FB458F"/>
    <w:rsid w:val="00FB4E75"/>
    <w:rsid w:val="00FC24DE"/>
    <w:rsid w:val="00FC34FF"/>
    <w:rsid w:val="00FC4663"/>
    <w:rsid w:val="00FC6794"/>
    <w:rsid w:val="00FD08A9"/>
    <w:rsid w:val="00FD124B"/>
    <w:rsid w:val="00FD184D"/>
    <w:rsid w:val="00FD3225"/>
    <w:rsid w:val="00FD3461"/>
    <w:rsid w:val="00FD78C8"/>
    <w:rsid w:val="00FD7F25"/>
    <w:rsid w:val="00FE0C04"/>
    <w:rsid w:val="00FE0D64"/>
    <w:rsid w:val="00FE115C"/>
    <w:rsid w:val="00FE2A22"/>
    <w:rsid w:val="00FE310F"/>
    <w:rsid w:val="00FE79AC"/>
    <w:rsid w:val="00FF1E84"/>
    <w:rsid w:val="00FF32F4"/>
    <w:rsid w:val="00FF47B8"/>
    <w:rsid w:val="00FF4DCF"/>
    <w:rsid w:val="00FF5EED"/>
    <w:rsid w:val="00FF668F"/>
    <w:rsid w:val="00FF685B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semiHidden/>
    <w:unhideWhenUsed/>
    <w:qFormat/>
    <w:rsid w:val="0026022E"/>
    <w:pPr>
      <w:keepNext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D72"/>
    <w:pPr>
      <w:ind w:left="720"/>
      <w:contextualSpacing/>
    </w:pPr>
  </w:style>
  <w:style w:type="character" w:customStyle="1" w:styleId="text">
    <w:name w:val="text"/>
    <w:basedOn w:val="a0"/>
    <w:rsid w:val="00A0110F"/>
  </w:style>
  <w:style w:type="character" w:styleId="a5">
    <w:name w:val="Hyperlink"/>
    <w:basedOn w:val="a0"/>
    <w:uiPriority w:val="99"/>
    <w:unhideWhenUsed/>
    <w:rsid w:val="00B4119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37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764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8D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6022E"/>
    <w:rPr>
      <w:rFonts w:ascii="Cambria" w:hAnsi="Cambria" w:cs="Times New Roman"/>
      <w:b/>
      <w:b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semiHidden/>
    <w:unhideWhenUsed/>
    <w:qFormat/>
    <w:rsid w:val="0026022E"/>
    <w:pPr>
      <w:keepNext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D72"/>
    <w:pPr>
      <w:ind w:left="720"/>
      <w:contextualSpacing/>
    </w:pPr>
  </w:style>
  <w:style w:type="character" w:customStyle="1" w:styleId="text">
    <w:name w:val="text"/>
    <w:basedOn w:val="a0"/>
    <w:rsid w:val="00A0110F"/>
  </w:style>
  <w:style w:type="character" w:styleId="a5">
    <w:name w:val="Hyperlink"/>
    <w:basedOn w:val="a0"/>
    <w:uiPriority w:val="99"/>
    <w:unhideWhenUsed/>
    <w:rsid w:val="00B4119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37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764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8D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6022E"/>
    <w:rPr>
      <w:rFonts w:ascii="Cambria" w:hAnsi="Cambria" w:cs="Times New Roman"/>
      <w:b/>
      <w:b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rk.kz/ru/news-mtrk/34-news-mtrk/14301-novye-perspektivy-sotrudnichestva-obsudili-severokazaxstanskie-i-tyumenskie-predprinimateli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trk.kz/ru/week/14302-v-sko-pribyla-delegacziya-iz-tyumenskoj-oblasti-.html" TargetMode="External"/><Relationship Id="rId12" Type="http://schemas.openxmlformats.org/officeDocument/2006/relationships/hyperlink" Target="http://t-l.ru/gis.72t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tra.ru/" TargetMode="External"/><Relationship Id="rId11" Type="http://schemas.openxmlformats.org/officeDocument/2006/relationships/hyperlink" Target="http://www.iat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etropavltv.kz/ru/view/society/page_87215_petropavlovsk-s-rabochim-vizitom-posetili-predprinim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tropavltv.kz/ru/view/economic/page_87214_v-ramkakh-vizita-v-petropavlovske-sostoyalas-vstrecha-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5372</Words>
  <Characters>30623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Новосёлова Ирина Игоревна</dc:creator>
  <cp:lastModifiedBy>Ярцева Ирина Викторовна</cp:lastModifiedBy>
  <cp:revision>3</cp:revision>
  <cp:lastPrinted>2015-05-21T06:53:00Z</cp:lastPrinted>
  <dcterms:created xsi:type="dcterms:W3CDTF">2015-07-17T07:47:00Z</dcterms:created>
  <dcterms:modified xsi:type="dcterms:W3CDTF">2015-07-17T07:51:00Z</dcterms:modified>
</cp:coreProperties>
</file>